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F160" w14:textId="77FF6109" w:rsidR="00595542" w:rsidRPr="00E84ADC" w:rsidRDefault="00287560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4A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A16FC23" w14:textId="77777777" w:rsidR="00595542" w:rsidRPr="00E84ADC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D3CC1D" w14:textId="77777777" w:rsidR="00595542" w:rsidRPr="00E84ADC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B04E30" w14:textId="77777777" w:rsidR="00347275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 xml:space="preserve">Raportarea statistică </w:t>
      </w:r>
    </w:p>
    <w:p w14:paraId="6F21F3B3" w14:textId="77777777" w:rsidR="00347275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 xml:space="preserve">cu aplicarea indicatorilor </w:t>
      </w:r>
    </w:p>
    <w:p w14:paraId="4E114BEC" w14:textId="16038905" w:rsidR="00347275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 xml:space="preserve">de performanță judecătorească, </w:t>
      </w:r>
    </w:p>
    <w:p w14:paraId="7D8A4ABE" w14:textId="51EE1735" w:rsidR="00177640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>anii 2017-202</w:t>
      </w:r>
      <w:r w:rsidR="005710A9" w:rsidRPr="00E84ADC">
        <w:rPr>
          <w:rFonts w:ascii="Times New Roman" w:hAnsi="Times New Roman" w:cs="Times New Roman"/>
          <w:b/>
          <w:sz w:val="72"/>
          <w:szCs w:val="72"/>
          <w:lang w:val="ro-RO"/>
        </w:rPr>
        <w:t>2</w:t>
      </w: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>.</w:t>
      </w:r>
    </w:p>
    <w:p w14:paraId="0235A7AE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2A45E789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1017CE59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38AC9AA6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4BC51F60" w14:textId="089A8843" w:rsidR="006314C3" w:rsidRPr="00E84ADC" w:rsidRDefault="006314C3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2B6A188E" w14:textId="77777777" w:rsidR="00347275" w:rsidRPr="00E84ADC" w:rsidRDefault="00347275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0D94377A" w14:textId="158D3955" w:rsidR="00595542" w:rsidRPr="00E84ADC" w:rsidRDefault="00595542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  <w:r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Cur</w:t>
      </w:r>
      <w:r w:rsidR="006B6EEC" w:rsidRPr="00E84ADC">
        <w:rPr>
          <w:rFonts w:ascii="Times New Roman" w:hAnsi="Times New Roman" w:cs="Times New Roman"/>
          <w:b/>
          <w:sz w:val="60"/>
          <w:szCs w:val="60"/>
          <w:lang w:val="ro-RO"/>
        </w:rPr>
        <w:t>tea</w:t>
      </w:r>
      <w:r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de Apel Comrat</w:t>
      </w:r>
      <w:r w:rsidR="006B6EEC" w:rsidRPr="00E84ADC">
        <w:rPr>
          <w:rFonts w:ascii="Times New Roman" w:hAnsi="Times New Roman" w:cs="Times New Roman"/>
          <w:b/>
          <w:sz w:val="60"/>
          <w:szCs w:val="60"/>
          <w:lang w:val="ro-RO"/>
        </w:rPr>
        <w:t>,</w:t>
      </w:r>
      <w:r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</w:t>
      </w:r>
      <w:r w:rsidR="00981EFD" w:rsidRPr="00E84ADC">
        <w:rPr>
          <w:rFonts w:ascii="Times New Roman" w:hAnsi="Times New Roman" w:cs="Times New Roman"/>
          <w:b/>
          <w:sz w:val="60"/>
          <w:szCs w:val="60"/>
          <w:lang w:val="ro-RO"/>
        </w:rPr>
        <w:t>1</w:t>
      </w:r>
      <w:r w:rsidR="001E65FC" w:rsidRPr="00E84ADC">
        <w:rPr>
          <w:rFonts w:ascii="Times New Roman" w:hAnsi="Times New Roman" w:cs="Times New Roman"/>
          <w:b/>
          <w:sz w:val="60"/>
          <w:szCs w:val="60"/>
          <w:lang w:val="ro-RO"/>
        </w:rPr>
        <w:t>2</w:t>
      </w:r>
      <w:r w:rsidR="0080608A"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</w:t>
      </w:r>
      <w:r w:rsidR="00981EFD" w:rsidRPr="00E84ADC">
        <w:rPr>
          <w:rFonts w:ascii="Times New Roman" w:hAnsi="Times New Roman" w:cs="Times New Roman"/>
          <w:b/>
          <w:sz w:val="60"/>
          <w:szCs w:val="60"/>
          <w:lang w:val="ro-RO"/>
        </w:rPr>
        <w:t>ianu</w:t>
      </w:r>
      <w:r w:rsidR="0080608A" w:rsidRPr="00E84ADC">
        <w:rPr>
          <w:rFonts w:ascii="Times New Roman" w:hAnsi="Times New Roman" w:cs="Times New Roman"/>
          <w:b/>
          <w:sz w:val="60"/>
          <w:szCs w:val="60"/>
          <w:lang w:val="ro-RO"/>
        </w:rPr>
        <w:t>arie 202</w:t>
      </w:r>
      <w:r w:rsidR="005710A9" w:rsidRPr="00E84ADC">
        <w:rPr>
          <w:rFonts w:ascii="Times New Roman" w:hAnsi="Times New Roman" w:cs="Times New Roman"/>
          <w:b/>
          <w:sz w:val="60"/>
          <w:szCs w:val="60"/>
          <w:lang w:val="ro-RO"/>
        </w:rPr>
        <w:t>3</w:t>
      </w:r>
    </w:p>
    <w:p w14:paraId="0EA421FF" w14:textId="77777777" w:rsidR="00735AE2" w:rsidRPr="00E84ADC" w:rsidRDefault="00735AE2" w:rsidP="00735AE2">
      <w:pPr>
        <w:pStyle w:val="a7"/>
        <w:rPr>
          <w:rFonts w:ascii="Times New Roman" w:hAnsi="Times New Roman" w:cs="Times New Roman"/>
          <w:lang w:val="ro-RO"/>
        </w:rPr>
      </w:pPr>
    </w:p>
    <w:p w14:paraId="791F893D" w14:textId="0426EF59" w:rsidR="005D461B" w:rsidRPr="00E84ADC" w:rsidRDefault="00364F9C" w:rsidP="00364F9C">
      <w:pPr>
        <w:pStyle w:val="a6"/>
        <w:rPr>
          <w:lang w:eastAsia="ru-RU"/>
        </w:rPr>
      </w:pPr>
      <w:r w:rsidRPr="00E84ADC">
        <w:rPr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246CF" wp14:editId="64B8EBB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8122920" cy="708025"/>
                <wp:effectExtent l="0" t="0" r="0" b="0"/>
                <wp:wrapNone/>
                <wp:docPr id="2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02ADF5-7842-455E-84FA-C62DCF9D27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920" cy="708025"/>
                        </a:xfrm>
                        <a:prstGeom prst="rect">
                          <a:avLst/>
                        </a:prstGeom>
                        <a:solidFill>
                          <a:srgbClr val="C5E0B4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14:paraId="760D76F7" w14:textId="77777777" w:rsidR="008A7BDF" w:rsidRPr="00B65DDF" w:rsidRDefault="008A7BDF" w:rsidP="005D4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B65D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ro-RO"/>
                              </w:rPr>
                              <w:t xml:space="preserve">Indicatorii de performanță judecătorească aprobați prin </w:t>
                            </w:r>
                          </w:p>
                          <w:p w14:paraId="11C4D519" w14:textId="36B91954" w:rsidR="008A7BDF" w:rsidRPr="00B65DDF" w:rsidRDefault="008A7BDF" w:rsidP="005D4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5D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ro-RO"/>
                              </w:rPr>
                              <w:t>Hotărârea CSM nr. 854/37 din 19 decembrie 2017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0246C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.5pt;width:639.6pt;height:5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" fillcolor="#c5e0b4" stroked="f">
                <v:textbox style="mso-fit-shape-to-text:t">
                  <w:txbxContent>
                    <w:p w14:paraId="760D76F7" w14:textId="77777777" w:rsidR="008A7BDF" w:rsidRPr="00B65DDF" w:rsidRDefault="008A7BDF" w:rsidP="005D46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ro-RO"/>
                        </w:rPr>
                      </w:pPr>
                      <w:r w:rsidRPr="00B65DD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ro-RO"/>
                        </w:rPr>
                        <w:t xml:space="preserve">Indicatorii de performanță judecătorească aprobați prin </w:t>
                      </w:r>
                    </w:p>
                    <w:p w14:paraId="11C4D519" w14:textId="36B91954" w:rsidR="008A7BDF" w:rsidRPr="00B65DDF" w:rsidRDefault="008A7BDF" w:rsidP="005D461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B65DD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ro-RO"/>
                        </w:rPr>
                        <w:t>Hotărârea CSM nr. 854/37 din 19 decembrie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633B4" w14:textId="7E93C400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0FC2DFD2" w14:textId="1EBC98CA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A16318A" w14:textId="7FF4C331" w:rsidR="005D461B" w:rsidRPr="00E84ADC" w:rsidRDefault="00AC2528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8ED9" wp14:editId="22464BA9">
                <wp:simplePos x="0" y="0"/>
                <wp:positionH relativeFrom="margin">
                  <wp:posOffset>678405</wp:posOffset>
                </wp:positionH>
                <wp:positionV relativeFrom="paragraph">
                  <wp:posOffset>128019</wp:posOffset>
                </wp:positionV>
                <wp:extent cx="8107552" cy="4687880"/>
                <wp:effectExtent l="0" t="0" r="0" b="0"/>
                <wp:wrapNone/>
                <wp:docPr id="4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7D2C66-AF25-44F0-82E1-DDCF0C6E1F0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107552" cy="46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04FF3" w14:textId="77777777" w:rsidR="008A7BDF" w:rsidRPr="003441F1" w:rsidRDefault="008A7BDF" w:rsidP="00AC2528">
                            <w:pPr>
                              <w:spacing w:before="200" w:after="0" w:line="27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04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1. 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Rata de soluționare a dosarelor în perioada raportată. </w:t>
                            </w:r>
                          </w:p>
                          <w:p w14:paraId="7B0814DC" w14:textId="77777777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2. 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Rata de variație a stocului de cauze pendinte (CR).</w:t>
                            </w:r>
                          </w:p>
                          <w:p w14:paraId="0015383B" w14:textId="77777777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3. 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Durata lichidării stocului de cauze pendinte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 (DT)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14:paraId="491AF019" w14:textId="4F81D4CB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4.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o-RO" w:eastAsia="ru-RU"/>
                              </w:rPr>
                              <w:t xml:space="preserve"> Rata deciziilor atacate cu apel/recurs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14:paraId="2979BF8F" w14:textId="05F529F4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5. 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o-RO" w:eastAsia="ru-RU"/>
                              </w:rPr>
                              <w:t>Rata deciziilor modificate sau anulate de instanța de apel/recurs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14:paraId="739A8821" w14:textId="7DD14F75" w:rsidR="008A7BDF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6. Vârsta cauzelor pendinte.</w:t>
                            </w:r>
                          </w:p>
                          <w:p w14:paraId="61E23D21" w14:textId="5E1EA820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7. </w:t>
                            </w:r>
                            <w:r w:rsidRPr="00AC25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Examinarea în termen a dosarelor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7D86FE4C" w14:textId="73B44B22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Rata ședințelor de judecată am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â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nate.</w:t>
                            </w:r>
                          </w:p>
                          <w:p w14:paraId="3ED6A6F7" w14:textId="0A1E69BB" w:rsidR="008A7BDF" w:rsidRPr="003441F1" w:rsidRDefault="008A7BDF" w:rsidP="005B1158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Rata dosarelor soluționate într-o singură ședință.</w:t>
                            </w:r>
                          </w:p>
                          <w:p w14:paraId="5E75D2EA" w14:textId="4C8A3816" w:rsidR="008A7BDF" w:rsidRPr="003441F1" w:rsidRDefault="008A7BDF" w:rsidP="005B11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Rata personalului instanței per judecător. </w:t>
                            </w:r>
                          </w:p>
                          <w:p w14:paraId="6929319F" w14:textId="686B0DDD" w:rsidR="008A7BDF" w:rsidRPr="003441F1" w:rsidRDefault="008A7BDF" w:rsidP="005B11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. Costul mediu per dosar examinat. </w:t>
                            </w:r>
                          </w:p>
                          <w:p w14:paraId="6C61A010" w14:textId="08710550" w:rsidR="008A7BDF" w:rsidRPr="003441F1" w:rsidRDefault="008A7BDF" w:rsidP="005B11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 Sarcina per judecător.</w:t>
                            </w:r>
                          </w:p>
                          <w:p w14:paraId="2F02B5B8" w14:textId="5855C18E" w:rsidR="008A7BDF" w:rsidRDefault="008A7BDF" w:rsidP="005B11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3441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 Cauze per personal.</w:t>
                            </w:r>
                          </w:p>
                          <w:p w14:paraId="6CEF5667" w14:textId="1490F289" w:rsidR="008A7BDF" w:rsidRDefault="008A7BDF" w:rsidP="005B115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14. </w:t>
                            </w:r>
                            <w:r w:rsidRPr="000500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Rata eficacității.</w:t>
                            </w:r>
                          </w:p>
                          <w:p w14:paraId="5271FB1A" w14:textId="1AB37274" w:rsidR="008A7BDF" w:rsidRDefault="008A7BDF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15. </w:t>
                            </w:r>
                            <w:r w:rsidRPr="00706D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Angajamentul personalului.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6B8ED9" id="Content Placeholder 4" o:spid="_x0000_s1027" type="#_x0000_t202" style="position:absolute;margin-left:53.4pt;margin-top:10.1pt;width:638.4pt;height:36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" filled="f" stroked="f">
                <o:lock v:ext="edit" grouping="t"/>
                <v:textbox>
                  <w:txbxContent>
                    <w:p w14:paraId="64004FF3" w14:textId="77777777" w:rsidR="008A7BDF" w:rsidRPr="003441F1" w:rsidRDefault="008A7BDF" w:rsidP="00AC2528">
                      <w:pPr>
                        <w:spacing w:before="200" w:after="0" w:line="276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F043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1. 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 xml:space="preserve">Rata de soluționare a dosarelor în perioada raportată. </w:t>
                      </w:r>
                    </w:p>
                    <w:p w14:paraId="7B0814DC" w14:textId="77777777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2. 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Rata de variație a stocului de cauze pendinte (CR).</w:t>
                      </w:r>
                    </w:p>
                    <w:p w14:paraId="0015383B" w14:textId="77777777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3. 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Durata lichidării stocului de cauze pendinte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 (DT)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14:paraId="491AF019" w14:textId="4F81D4CB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4.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o-RO" w:eastAsia="ru-RU"/>
                        </w:rPr>
                        <w:t xml:space="preserve"> Rata deciziilor atacate cu apel/recurs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14:paraId="2979BF8F" w14:textId="05F529F4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5. 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o-RO" w:eastAsia="ru-RU"/>
                        </w:rPr>
                        <w:t>Rata deciziilor modificate sau anulate de instanța de apel/recurs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14:paraId="739A8821" w14:textId="7DD14F75" w:rsidR="008A7BDF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6.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Vârsta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cauzelor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pendinte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61E23D21" w14:textId="5E1EA820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7. </w:t>
                      </w:r>
                      <w:proofErr w:type="spellStart"/>
                      <w:r w:rsidRPr="00AC25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Examinarea</w:t>
                      </w:r>
                      <w:proofErr w:type="spellEnd"/>
                      <w:r w:rsidRPr="00AC25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C25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în</w:t>
                      </w:r>
                      <w:proofErr w:type="spellEnd"/>
                      <w:r w:rsidRPr="00AC25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termen a </w:t>
                      </w:r>
                      <w:proofErr w:type="spellStart"/>
                      <w:r w:rsidRPr="00AC25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dosarelor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7D86FE4C" w14:textId="73B44B22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Rata ședințelor de judecată am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>â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nate.</w:t>
                      </w:r>
                    </w:p>
                    <w:p w14:paraId="3ED6A6F7" w14:textId="0A1E69BB" w:rsidR="008A7BDF" w:rsidRPr="003441F1" w:rsidRDefault="008A7BDF" w:rsidP="005B1158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9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vi-VN"/>
                        </w:rPr>
                        <w:t>Rata dosarelor soluționate într-o singură ședință.</w:t>
                      </w:r>
                    </w:p>
                    <w:p w14:paraId="5E75D2EA" w14:textId="4C8A3816" w:rsidR="008A7BDF" w:rsidRPr="003441F1" w:rsidRDefault="008A7BDF" w:rsidP="005B11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Rata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personalului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instanței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per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judecător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6929319F" w14:textId="686B0DDD" w:rsidR="008A7BDF" w:rsidRPr="003441F1" w:rsidRDefault="008A7BDF" w:rsidP="005B11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Costul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mediu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per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dosar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examinat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6C61A010" w14:textId="08710550" w:rsidR="008A7BDF" w:rsidRPr="003441F1" w:rsidRDefault="008A7BDF" w:rsidP="005B11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Sarcina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per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judecător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2F02B5B8" w14:textId="5855C18E" w:rsidR="008A7BDF" w:rsidRDefault="008A7BDF" w:rsidP="005B11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Cauze</w:t>
                      </w:r>
                      <w:proofErr w:type="spellEnd"/>
                      <w:r w:rsidRPr="003441F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per personal.</w:t>
                      </w:r>
                    </w:p>
                    <w:p w14:paraId="6CEF5667" w14:textId="1490F289" w:rsidR="008A7BDF" w:rsidRDefault="008A7BDF" w:rsidP="005B115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14. </w:t>
                      </w:r>
                      <w:r w:rsidRPr="000500E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Rata </w:t>
                      </w:r>
                      <w:proofErr w:type="spellStart"/>
                      <w:r w:rsidRPr="000500E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eficacității</w:t>
                      </w:r>
                      <w:proofErr w:type="spellEnd"/>
                      <w:r w:rsidRPr="000500E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271FB1A" w14:textId="1AB37274" w:rsidR="008A7BDF" w:rsidRDefault="008A7BDF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15. </w:t>
                      </w:r>
                      <w:proofErr w:type="spellStart"/>
                      <w:r w:rsidRPr="00706D6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Angajamentul</w:t>
                      </w:r>
                      <w:proofErr w:type="spellEnd"/>
                      <w:r w:rsidRPr="00706D6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06D6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personalului</w:t>
                      </w:r>
                      <w:proofErr w:type="spellEnd"/>
                      <w:r w:rsidRPr="00706D6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7F6E2" w14:textId="68E04CF2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CBD5005" w14:textId="225DD0FB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9E1F3CC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A5D54D2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6998B2E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C1CD982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BA8D8EC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8DDA2F7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2554B1A" w14:textId="5796A24F" w:rsidR="000D5FDF" w:rsidRPr="00E84ADC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   </w:t>
      </w:r>
    </w:p>
    <w:p w14:paraId="4D2F0780" w14:textId="2A2FCEC6" w:rsidR="0080136F" w:rsidRPr="00E84ADC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</w:t>
      </w:r>
    </w:p>
    <w:p w14:paraId="071C3E07" w14:textId="61843994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8A1D4F5" w14:textId="63738DF3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63198009" w14:textId="6451D486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253112A" w14:textId="37C65518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FD6D9EA" w14:textId="77777777" w:rsidR="00DB0C1F" w:rsidRPr="00E84ADC" w:rsidRDefault="00DB0C1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81CEAA8" w14:textId="502CC037" w:rsidR="00EB7A09" w:rsidRPr="00E84ADC" w:rsidRDefault="00B65DD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2BB38" wp14:editId="1BA7BBF4">
                <wp:simplePos x="0" y="0"/>
                <wp:positionH relativeFrom="column">
                  <wp:posOffset>910817</wp:posOffset>
                </wp:positionH>
                <wp:positionV relativeFrom="paragraph">
                  <wp:posOffset>322343</wp:posOffset>
                </wp:positionV>
                <wp:extent cx="8732520" cy="730155"/>
                <wp:effectExtent l="0" t="0" r="0" b="0"/>
                <wp:wrapNone/>
                <wp:docPr id="3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732520" cy="7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FBEFC" w14:textId="77777777" w:rsidR="008A7BDF" w:rsidRPr="006345E8" w:rsidRDefault="008A7B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22BB38" id="_x0000_s1028" type="#_x0000_t202" style="position:absolute;margin-left:71.7pt;margin-top:25.4pt;width:687.6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" filled="f" stroked="f">
                <o:lock v:ext="edit" grouping="t"/>
                <v:textbox>
                  <w:txbxContent>
                    <w:p w14:paraId="175FBEFC" w14:textId="77777777" w:rsidR="008A7BDF" w:rsidRPr="006345E8" w:rsidRDefault="008A7B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2D09F" w14:textId="7CA63D7A" w:rsidR="00EB7A09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6144" wp14:editId="4BA24E02">
                <wp:simplePos x="0" y="0"/>
                <wp:positionH relativeFrom="column">
                  <wp:posOffset>901241</wp:posOffset>
                </wp:positionH>
                <wp:positionV relativeFrom="paragraph">
                  <wp:posOffset>-3436</wp:posOffset>
                </wp:positionV>
                <wp:extent cx="7199940" cy="571500"/>
                <wp:effectExtent l="0" t="0" r="127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940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14:paraId="2C8D1AA1" w14:textId="77777777" w:rsidR="008A7BDF" w:rsidRPr="00F6060C" w:rsidRDefault="008A7BDF" w:rsidP="00CD02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060C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vi-VN"/>
                              </w:rPr>
                              <w:t>Rata de soluționare a dosarelor în perioada raportată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916144" id="_x0000_s1029" type="#_x0000_t202" style="position:absolute;margin-left:70.95pt;margin-top:-.25pt;width:566.9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" fillcolor="#5b9bd5" stroked="f">
                <v:textbox style="mso-fit-shape-to-text:t">
                  <w:txbxContent>
                    <w:p w14:paraId="2C8D1AA1" w14:textId="77777777" w:rsidR="008A7BDF" w:rsidRPr="00F6060C" w:rsidRDefault="008A7BDF" w:rsidP="00CD02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6060C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48"/>
                          <w:szCs w:val="48"/>
                          <w:lang w:val="vi-VN"/>
                        </w:rPr>
                        <w:t>Rata de soluționare a dosarelor în perioada raportată</w:t>
                      </w:r>
                    </w:p>
                  </w:txbxContent>
                </v:textbox>
              </v:shape>
            </w:pict>
          </mc:Fallback>
        </mc:AlternateContent>
      </w:r>
    </w:p>
    <w:p w14:paraId="0D5D0A4C" w14:textId="4560C96B" w:rsidR="00F6060C" w:rsidRPr="00E84ADC" w:rsidRDefault="00F6060C" w:rsidP="00CD024D">
      <w:pPr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D1BF679" w14:textId="5F027000" w:rsidR="00F6060C" w:rsidRPr="00E84ADC" w:rsidRDefault="00F6060C" w:rsidP="000225D2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tbl>
      <w:tblPr>
        <w:tblW w:w="131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431"/>
        <w:gridCol w:w="2528"/>
        <w:gridCol w:w="2027"/>
        <w:gridCol w:w="3398"/>
      </w:tblGrid>
      <w:tr w:rsidR="001B4705" w:rsidRPr="00E84ADC" w14:paraId="45B69335" w14:textId="77777777" w:rsidTr="00CD024D">
        <w:trPr>
          <w:trHeight w:val="907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6B46C5E" w14:textId="77777777" w:rsidR="00C03152" w:rsidRPr="00E84ADC" w:rsidRDefault="00C03152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Anul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2AE5307" w14:textId="5F04E8C4" w:rsidR="00C03152" w:rsidRPr="00E84ADC" w:rsidRDefault="008B2B27" w:rsidP="008B2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</w:t>
            </w:r>
            <w:r w:rsidR="00C03152"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oluționate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4B3F734" w14:textId="0FD12ACF" w:rsidR="00C03152" w:rsidRPr="00E84ADC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</w:t>
            </w:r>
            <w:r w:rsidR="008B2B27"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nregistrate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7970C18" w14:textId="77777777" w:rsidR="00C03152" w:rsidRPr="00E84ADC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Restante</w:t>
            </w:r>
          </w:p>
          <w:p w14:paraId="47AF527F" w14:textId="33F22A9A" w:rsidR="00A86DB7" w:rsidRPr="00E84ADC" w:rsidRDefault="00A86DB7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la începutul </w:t>
            </w:r>
            <w:r w:rsidR="008F0F6B" w:rsidRPr="00E84A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39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833C91A" w14:textId="23894D4B" w:rsidR="00C03152" w:rsidRPr="00E84ADC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Rata de soluționare a dosarelor</w:t>
            </w:r>
          </w:p>
        </w:tc>
      </w:tr>
      <w:tr w:rsidR="001B4705" w:rsidRPr="00E84ADC" w14:paraId="35FCDE35" w14:textId="77777777" w:rsidTr="00CD024D">
        <w:trPr>
          <w:trHeight w:val="540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83A2AE7" w14:textId="77777777" w:rsidR="00C03152" w:rsidRPr="00E84ADC" w:rsidRDefault="00C03152" w:rsidP="001335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2017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8CA0CE" w14:textId="148D16FA" w:rsidR="00C03152" w:rsidRPr="00E84ADC" w:rsidRDefault="00C0315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118</w:t>
            </w:r>
            <w:r w:rsidR="005B6E3D"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3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01E437" w14:textId="77566D93" w:rsidR="00C03152" w:rsidRPr="00E84ADC" w:rsidRDefault="005B6E3D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1233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39CE29B" w14:textId="7DE16B38" w:rsidR="00C03152" w:rsidRPr="00E84ADC" w:rsidRDefault="008F0F6B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142</w:t>
            </w:r>
          </w:p>
        </w:tc>
        <w:tc>
          <w:tcPr>
            <w:tcW w:w="3398" w:type="dxa"/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4AE18DE" w14:textId="02C828F6" w:rsidR="00C03152" w:rsidRPr="00E84ADC" w:rsidRDefault="002240F1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86 %</w:t>
            </w:r>
          </w:p>
        </w:tc>
      </w:tr>
      <w:tr w:rsidR="001B4705" w:rsidRPr="00E84ADC" w14:paraId="7013DA5C" w14:textId="77777777" w:rsidTr="00CD024D">
        <w:trPr>
          <w:trHeight w:val="534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E55DC3" w14:textId="77777777" w:rsidR="00C03152" w:rsidRPr="00E84ADC" w:rsidRDefault="00C03152" w:rsidP="001335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2018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4AD8C2" w14:textId="77777777" w:rsidR="00C03152" w:rsidRPr="00E84ADC" w:rsidRDefault="00C0315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1332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46A58ED" w14:textId="6ED56897" w:rsidR="00C03152" w:rsidRPr="00E84ADC" w:rsidRDefault="005B6E3D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1344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EE25CC1" w14:textId="712EBD6F" w:rsidR="00C03152" w:rsidRPr="00E84ADC" w:rsidRDefault="008F0F6B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192</w:t>
            </w:r>
          </w:p>
        </w:tc>
        <w:tc>
          <w:tcPr>
            <w:tcW w:w="3398" w:type="dxa"/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D0D3E18" w14:textId="6DDFE20D" w:rsidR="00C03152" w:rsidRPr="00E84ADC" w:rsidRDefault="002240F1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86,7</w:t>
            </w:r>
            <w:r w:rsidR="004E7B64"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 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  <w:tr w:rsidR="001B4705" w:rsidRPr="00E84ADC" w14:paraId="32FBE2CC" w14:textId="77777777" w:rsidTr="00CD024D">
        <w:trPr>
          <w:trHeight w:val="528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ACEBBD" w14:textId="77777777" w:rsidR="00C03152" w:rsidRPr="00E84ADC" w:rsidRDefault="00C03152" w:rsidP="0013350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2019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8DC964A" w14:textId="77777777" w:rsidR="00C03152" w:rsidRPr="00E84ADC" w:rsidRDefault="00C0315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1517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17E6C8E" w14:textId="431F6F17" w:rsidR="00C03152" w:rsidRPr="00E84ADC" w:rsidRDefault="005B6E3D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1510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A1724A1" w14:textId="542141E3" w:rsidR="00C03152" w:rsidRPr="00E84ADC" w:rsidRDefault="008F0F6B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204</w:t>
            </w:r>
          </w:p>
        </w:tc>
        <w:tc>
          <w:tcPr>
            <w:tcW w:w="3398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14E5124D" w14:textId="40F00B6D" w:rsidR="00C03152" w:rsidRPr="00E84ADC" w:rsidRDefault="002240F1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88,5</w:t>
            </w:r>
            <w:r w:rsidR="004E7B64"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 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  <w:tr w:rsidR="001B4705" w:rsidRPr="00E84ADC" w14:paraId="3226B4A8" w14:textId="77777777" w:rsidTr="00CD024D">
        <w:trPr>
          <w:trHeight w:val="149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6E5FCF6" w14:textId="7FE3A2AE" w:rsidR="00094C4A" w:rsidRPr="00E84ADC" w:rsidRDefault="00094C4A" w:rsidP="00094C4A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2020</w:t>
            </w:r>
          </w:p>
        </w:tc>
        <w:tc>
          <w:tcPr>
            <w:tcW w:w="2431" w:type="dxa"/>
            <w:shd w:val="clear" w:color="auto" w:fill="D5DCE4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0264934" w14:textId="67FFC4FD" w:rsidR="00094C4A" w:rsidRPr="00E84ADC" w:rsidRDefault="00094C4A" w:rsidP="00094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1378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D30F94" w14:textId="5A3501CA" w:rsidR="00094C4A" w:rsidRPr="00E84ADC" w:rsidRDefault="00094C4A" w:rsidP="00094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1449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0989BE" w14:textId="407F5A24" w:rsidR="00094C4A" w:rsidRPr="00E84ADC" w:rsidRDefault="00094C4A" w:rsidP="00094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1</w:t>
            </w:r>
            <w:r w:rsidR="00EA01F5" w:rsidRPr="00E84ADC">
              <w:rPr>
                <w:rFonts w:ascii="Times New Roman"/>
                <w:b/>
                <w:sz w:val="32"/>
                <w:szCs w:val="32"/>
                <w:lang w:val="ro-RO"/>
              </w:rPr>
              <w:t>9</w:t>
            </w: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7</w:t>
            </w:r>
          </w:p>
        </w:tc>
        <w:tc>
          <w:tcPr>
            <w:tcW w:w="3398" w:type="dxa"/>
            <w:shd w:val="clear" w:color="auto" w:fill="D9D9D9" w:themeFill="background1" w:themeFillShade="D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3F6123F" w14:textId="53F3346E" w:rsidR="00094C4A" w:rsidRPr="00E84ADC" w:rsidRDefault="00094C4A" w:rsidP="00094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83,7</w:t>
            </w:r>
            <w:r w:rsidR="004E7B64" w:rsidRPr="00E84ADC">
              <w:rPr>
                <w:rFonts w:ascii="Times New Roman"/>
                <w:b/>
                <w:sz w:val="32"/>
                <w:szCs w:val="32"/>
                <w:lang w:val="ro-RO"/>
              </w:rPr>
              <w:t xml:space="preserve"> </w:t>
            </w: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%</w:t>
            </w:r>
          </w:p>
        </w:tc>
      </w:tr>
      <w:tr w:rsidR="00F835A9" w:rsidRPr="00E84ADC" w14:paraId="67FBC81D" w14:textId="77777777" w:rsidTr="00CD024D">
        <w:trPr>
          <w:trHeight w:val="394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02197CB" w14:textId="51952333" w:rsidR="00F835A9" w:rsidRPr="00E84ADC" w:rsidRDefault="00F835A9" w:rsidP="00094C4A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2021</w:t>
            </w:r>
          </w:p>
        </w:tc>
        <w:tc>
          <w:tcPr>
            <w:tcW w:w="2431" w:type="dxa"/>
            <w:shd w:val="clear" w:color="auto" w:fill="D5DCE4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3C8F0DC" w14:textId="6A701CDD" w:rsidR="00F835A9" w:rsidRPr="00E84ADC" w:rsidRDefault="0081122B" w:rsidP="00094C4A">
            <w:pPr>
              <w:spacing w:after="0"/>
              <w:jc w:val="center"/>
              <w:rPr>
                <w:rFonts w:ascii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1896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ECCDE8B" w14:textId="77D7AA95" w:rsidR="00F835A9" w:rsidRPr="00E84ADC" w:rsidRDefault="0081122B" w:rsidP="00094C4A">
            <w:pPr>
              <w:spacing w:after="0"/>
              <w:jc w:val="center"/>
              <w:rPr>
                <w:rFonts w:ascii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1967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448272AE" w14:textId="69ED0352" w:rsidR="00F835A9" w:rsidRPr="00E84ADC" w:rsidRDefault="0081122B" w:rsidP="00094C4A">
            <w:pPr>
              <w:spacing w:after="0"/>
              <w:jc w:val="center"/>
              <w:rPr>
                <w:rFonts w:ascii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268</w:t>
            </w:r>
          </w:p>
        </w:tc>
        <w:tc>
          <w:tcPr>
            <w:tcW w:w="3398" w:type="dxa"/>
            <w:shd w:val="clear" w:color="auto" w:fill="D9D9D9" w:themeFill="background1" w:themeFillShade="D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B766489" w14:textId="342F4604" w:rsidR="00F835A9" w:rsidRPr="00E84ADC" w:rsidRDefault="0081122B" w:rsidP="00094C4A">
            <w:pPr>
              <w:spacing w:after="0"/>
              <w:jc w:val="center"/>
              <w:rPr>
                <w:rFonts w:ascii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84,8</w:t>
            </w:r>
            <w:r w:rsidR="004E7B64" w:rsidRPr="00E84ADC">
              <w:rPr>
                <w:rFonts w:ascii="Times New Roman"/>
                <w:b/>
                <w:sz w:val="32"/>
                <w:szCs w:val="32"/>
                <w:lang w:val="ro-RO"/>
              </w:rPr>
              <w:t xml:space="preserve"> </w:t>
            </w:r>
            <w:r w:rsidRPr="00E84ADC">
              <w:rPr>
                <w:rFonts w:ascii="Times New Roman"/>
                <w:b/>
                <w:sz w:val="32"/>
                <w:szCs w:val="32"/>
                <w:lang w:val="ro-RO"/>
              </w:rPr>
              <w:t>%</w:t>
            </w:r>
          </w:p>
        </w:tc>
      </w:tr>
      <w:tr w:rsidR="005710A9" w:rsidRPr="00E84ADC" w14:paraId="04106001" w14:textId="77777777" w:rsidTr="00CD024D">
        <w:trPr>
          <w:trHeight w:val="394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73C73DB" w14:textId="7D772BDB" w:rsidR="005710A9" w:rsidRPr="00E84ADC" w:rsidRDefault="005710A9" w:rsidP="00094C4A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2022</w:t>
            </w:r>
          </w:p>
        </w:tc>
        <w:tc>
          <w:tcPr>
            <w:tcW w:w="2431" w:type="dxa"/>
            <w:shd w:val="clear" w:color="auto" w:fill="D5DCE4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753568A7" w14:textId="42B626E6" w:rsidR="005710A9" w:rsidRPr="00E84ADC" w:rsidRDefault="000D525B" w:rsidP="00094C4A">
            <w:pPr>
              <w:spacing w:after="0"/>
              <w:jc w:val="center"/>
              <w:rPr>
                <w:rFonts w:ascii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/>
                <w:b/>
                <w:sz w:val="36"/>
                <w:szCs w:val="36"/>
                <w:lang w:val="ro-RO"/>
              </w:rPr>
              <w:t>1934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1CFCD58B" w14:textId="241F83FA" w:rsidR="005710A9" w:rsidRPr="00E84ADC" w:rsidRDefault="00EE110D" w:rsidP="00094C4A">
            <w:pPr>
              <w:spacing w:after="0"/>
              <w:jc w:val="center"/>
              <w:rPr>
                <w:rFonts w:ascii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/>
                <w:b/>
                <w:sz w:val="36"/>
                <w:szCs w:val="36"/>
                <w:lang w:val="ro-RO"/>
              </w:rPr>
              <w:t>2066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A98E72D" w14:textId="75EC7B6E" w:rsidR="005710A9" w:rsidRPr="00E84ADC" w:rsidRDefault="00EE110D" w:rsidP="00094C4A">
            <w:pPr>
              <w:spacing w:after="0"/>
              <w:jc w:val="center"/>
              <w:rPr>
                <w:rFonts w:ascii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/>
                <w:b/>
                <w:sz w:val="36"/>
                <w:szCs w:val="36"/>
                <w:lang w:val="ro-RO"/>
              </w:rPr>
              <w:t>339</w:t>
            </w:r>
          </w:p>
        </w:tc>
        <w:tc>
          <w:tcPr>
            <w:tcW w:w="3398" w:type="dxa"/>
            <w:shd w:val="clear" w:color="auto" w:fill="D9D9D9" w:themeFill="background1" w:themeFillShade="D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46E96D3C" w14:textId="045DB403" w:rsidR="005710A9" w:rsidRPr="00E84ADC" w:rsidRDefault="004E7B64" w:rsidP="00094C4A">
            <w:pPr>
              <w:spacing w:after="0"/>
              <w:jc w:val="center"/>
              <w:rPr>
                <w:rFonts w:ascii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/>
                <w:b/>
                <w:sz w:val="36"/>
                <w:szCs w:val="36"/>
                <w:lang w:val="ro-RO"/>
              </w:rPr>
              <w:t>80,42 %</w:t>
            </w:r>
          </w:p>
        </w:tc>
      </w:tr>
    </w:tbl>
    <w:p w14:paraId="69528BDA" w14:textId="7B8FA2DD" w:rsidR="00F6060C" w:rsidRPr="00E84ADC" w:rsidRDefault="00BE4A2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6A8FD" wp14:editId="36441E3E">
                <wp:simplePos x="0" y="0"/>
                <wp:positionH relativeFrom="column">
                  <wp:posOffset>461010</wp:posOffset>
                </wp:positionH>
                <wp:positionV relativeFrom="paragraph">
                  <wp:posOffset>55245</wp:posOffset>
                </wp:positionV>
                <wp:extent cx="8686800" cy="2362200"/>
                <wp:effectExtent l="0" t="0" r="0" b="0"/>
                <wp:wrapNone/>
                <wp:docPr id="6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6868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797EC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Formula de calcul:</w:t>
                            </w:r>
                          </w:p>
                          <w:p w14:paraId="033C1127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% 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= (A/(B+C)) X 100</w:t>
                            </w:r>
                          </w:p>
                          <w:p w14:paraId="326AC588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A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= Numărul dosarelor soluționate într-o perioadă de timp;</w:t>
                            </w:r>
                          </w:p>
                          <w:p w14:paraId="4528CD5F" w14:textId="728F0688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B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= Numărul dosarelor înregistrate de instanță;</w:t>
                            </w:r>
                          </w:p>
                          <w:p w14:paraId="495B939F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C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= Numărul dosarelor restante la începutul unei perioade de referință.</w:t>
                            </w:r>
                          </w:p>
                          <w:p w14:paraId="593B19FF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Definiție: Acest indicator reflectă raportul dintre cauzele restante, cauzele intrate (noi) şi cauzele soluționate în decursul unei perioade, exprimat în procente.</w:t>
                            </w:r>
                          </w:p>
                          <w:p w14:paraId="4B61204E" w14:textId="17C813FD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Scop: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Este utilizat pentru calcularea procentului dosarelor soluționate din volumul de muncă total al instanțe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i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de judecată pe parcursul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anului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. Acest indicator evaluează dacă instanța face față volumului de lucru.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6A8FD" id="_x0000_s1030" type="#_x0000_t202" style="position:absolute;margin-left:36.3pt;margin-top:4.35pt;width:684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" filled="f" stroked="f">
                <o:lock v:ext="edit" grouping="t"/>
                <v:textbox>
                  <w:txbxContent>
                    <w:p w14:paraId="4A6797EC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Formula de calcul:</w:t>
                      </w:r>
                    </w:p>
                    <w:p w14:paraId="033C1127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% </w:t>
                      </w: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= (A/(B+C)) X 100</w:t>
                      </w:r>
                    </w:p>
                    <w:p w14:paraId="326AC588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A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= Numărul dosarelor soluționate într-o perioadă de timp;</w:t>
                      </w:r>
                    </w:p>
                    <w:p w14:paraId="4528CD5F" w14:textId="728F0688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B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= Numărul dosarelor înregistrate de instanță;</w:t>
                      </w:r>
                    </w:p>
                    <w:p w14:paraId="495B939F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C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= Numărul dosarelor restante la începutul unei perioade de referință.</w:t>
                      </w:r>
                    </w:p>
                    <w:p w14:paraId="593B19FF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Definiție: Acest indicator reflectă raportul dintre cauzele restante, cauzele intrate (noi) </w:t>
                      </w:r>
                      <w:proofErr w:type="spellStart"/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şi</w:t>
                      </w:r>
                      <w:proofErr w:type="spellEnd"/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cauzele soluționate în decursul unei perioade, exprimat în procente.</w:t>
                      </w:r>
                    </w:p>
                    <w:p w14:paraId="4B61204E" w14:textId="17C813FD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Scop: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Este utilizat pentru calcularea procentului dosarelor soluționate din volumul de muncă total al instanțe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i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de judecată pe parcursul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anului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. Acest indicator evaluează dacă instanța face față volumului de lucru.</w:t>
                      </w:r>
                    </w:p>
                  </w:txbxContent>
                </v:textbox>
              </v:shape>
            </w:pict>
          </mc:Fallback>
        </mc:AlternateContent>
      </w:r>
    </w:p>
    <w:p w14:paraId="16757FE8" w14:textId="34B8A2B3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A468871" w14:textId="6EED219A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1A2F06E3" w14:textId="1927E259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A23266F" w14:textId="21862959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2ECF793" w14:textId="47E29DBD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BCA459B" w14:textId="79DD455D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5B3111E" w14:textId="6EE5547D" w:rsidR="00BE4A2F" w:rsidRPr="00E84ADC" w:rsidRDefault="00BE4A2F" w:rsidP="00C67B3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u-RU"/>
        </w:rPr>
      </w:pPr>
    </w:p>
    <w:p w14:paraId="42C7B97C" w14:textId="6A0497A3" w:rsidR="00BA7408" w:rsidRPr="00E84ADC" w:rsidRDefault="0080136F" w:rsidP="00C67B3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84ADC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  <w:t>Fluxul de cauze per categorii</w:t>
      </w:r>
    </w:p>
    <w:tbl>
      <w:tblPr>
        <w:tblW w:w="14330" w:type="dxa"/>
        <w:tblInd w:w="421" w:type="dxa"/>
        <w:tblLook w:val="04A0" w:firstRow="1" w:lastRow="0" w:firstColumn="1" w:lastColumn="0" w:noHBand="0" w:noVBand="1"/>
      </w:tblPr>
      <w:tblGrid>
        <w:gridCol w:w="3106"/>
        <w:gridCol w:w="974"/>
        <w:gridCol w:w="1206"/>
        <w:gridCol w:w="1182"/>
        <w:gridCol w:w="1133"/>
        <w:gridCol w:w="1181"/>
        <w:gridCol w:w="1157"/>
        <w:gridCol w:w="1069"/>
        <w:gridCol w:w="1069"/>
        <w:gridCol w:w="1181"/>
        <w:gridCol w:w="1072"/>
      </w:tblGrid>
      <w:tr w:rsidR="00C2007A" w:rsidRPr="00E84ADC" w14:paraId="6E18647E" w14:textId="77777777" w:rsidTr="001B6A63">
        <w:trPr>
          <w:trHeight w:val="222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142914C3" w14:textId="7D1E66B5" w:rsidR="00C2007A" w:rsidRPr="00E84ADC" w:rsidRDefault="00C2007A" w:rsidP="00C2007A">
            <w:pPr>
              <w:ind w:left="38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202</w:t>
            </w:r>
            <w:r w:rsidR="00306974"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A52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I. Cauze pendinte la 1 ianuarie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D839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II. Cauze noi înregistrate pe parcursul anului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D187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III. Cauze soluționate pe parcursul anului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2B8B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IV. Cauze pendinte la 31 decembrie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44F1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V. Deciziile atacate cu apel/recurs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BC66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VI. Deciziile modificate sau anulate de instanța de apel /recurs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6FA4" w14:textId="1D10FD44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 xml:space="preserve">VII. Rata de </w:t>
            </w:r>
            <w:r w:rsidR="005062D5" w:rsidRPr="00E84ADC">
              <w:rPr>
                <w:rFonts w:ascii="Times New Roman" w:hAnsi="Times New Roman" w:cs="Times New Roman"/>
                <w:lang w:val="ro-RO"/>
              </w:rPr>
              <w:t>variație</w:t>
            </w:r>
            <w:r w:rsidRPr="00E84ADC">
              <w:rPr>
                <w:rFonts w:ascii="Times New Roman" w:hAnsi="Times New Roman" w:cs="Times New Roman"/>
                <w:lang w:val="ro-RO"/>
              </w:rPr>
              <w:t xml:space="preserve"> a stocului de cauze pendinte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D792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VIII. Durata lichidării stocului de cauze pendinte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D294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IX. Rata deciziilor atacate cu apel/recurs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701A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X. Rata apelurilor reușite</w:t>
            </w:r>
          </w:p>
        </w:tc>
      </w:tr>
      <w:tr w:rsidR="00E4459A" w:rsidRPr="00E84ADC" w14:paraId="156EF789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27D1" w14:textId="77777777" w:rsidR="00E4459A" w:rsidRPr="00E84ADC" w:rsidRDefault="00E4459A" w:rsidP="00E4459A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1. Total cauze civile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084216" w14:textId="0EE067FF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DC1291" w14:textId="3E658CC2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394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C136F1" w14:textId="1E0ACABC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659577" w14:textId="51F0E9F9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23CEE0" w14:textId="3EF70FC8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C41648" w14:textId="596407C7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29796C2" w14:textId="1119A1AA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97,5%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7F58B5" w14:textId="1BBE048A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1C7AF57E" w14:textId="7939C30C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22,9%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34289F2B" w14:textId="6EF6C145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4,4%</w:t>
            </w:r>
          </w:p>
        </w:tc>
      </w:tr>
      <w:tr w:rsidR="00E4459A" w:rsidRPr="00E84ADC" w14:paraId="54D50DAC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E1C" w14:textId="77777777" w:rsidR="00E4459A" w:rsidRPr="00E84ADC" w:rsidRDefault="00E4459A" w:rsidP="00E4459A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1a. Restabilirea în funcţie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9372FA" w14:textId="1865741D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AED5DD" w14:textId="114D2089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4F2845" w14:textId="49BD0135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C8C69F" w14:textId="35CED34C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787670" w14:textId="30639EAE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6474C3" w14:textId="29919EAA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E04105" w14:textId="2F573484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136,4%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2B310A" w14:textId="2232C32F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71"/>
            <w:noWrap/>
            <w:hideMark/>
          </w:tcPr>
          <w:p w14:paraId="2A050667" w14:textId="35059DD6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46,7%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hideMark/>
          </w:tcPr>
          <w:p w14:paraId="1DD378FC" w14:textId="0F26441D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6,7%</w:t>
            </w:r>
          </w:p>
        </w:tc>
      </w:tr>
      <w:tr w:rsidR="00E4459A" w:rsidRPr="00E84ADC" w14:paraId="04CA4014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6D2F" w14:textId="77777777" w:rsidR="00E4459A" w:rsidRPr="00E84ADC" w:rsidRDefault="00E4459A" w:rsidP="00E4459A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1b. Desfacerea căsătoriei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BB548D" w14:textId="043C4319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0A79311" w14:textId="2CBE5C6B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C1D7F5" w14:textId="0C2A3E16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86913F" w14:textId="51BB7B9B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7EDD0C" w14:textId="5AC7336E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F31A49" w14:textId="36E94ED5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4435EA" w14:textId="2983F13F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127,3%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D53237" w14:textId="10305E5A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noWrap/>
            <w:hideMark/>
          </w:tcPr>
          <w:p w14:paraId="05F44A84" w14:textId="643EE5D8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28,6%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hideMark/>
          </w:tcPr>
          <w:p w14:paraId="07DB57F6" w14:textId="3311AD4D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7,1%</w:t>
            </w:r>
          </w:p>
        </w:tc>
      </w:tr>
      <w:tr w:rsidR="00E4459A" w:rsidRPr="00E84ADC" w14:paraId="1E6DC036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EC39" w14:textId="77777777" w:rsidR="00E4459A" w:rsidRPr="00E84ADC" w:rsidRDefault="00E4459A" w:rsidP="00E4459A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2. Total cauze comerciale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5B1FF3" w14:textId="2258BA0D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E56D91" w14:textId="604811AC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A927AD" w14:textId="341FCB7E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63BCB6" w14:textId="045FC070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4B7A0C" w14:textId="4693B46E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95CF5D" w14:textId="108A47F1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E40F4AF" w14:textId="487BB6D1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96,2%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F7A582" w14:textId="105FBE28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hideMark/>
          </w:tcPr>
          <w:p w14:paraId="03952E18" w14:textId="02ECBF75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21,1%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0"/>
            <w:noWrap/>
            <w:hideMark/>
          </w:tcPr>
          <w:p w14:paraId="0D15F53C" w14:textId="05007574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2,6%</w:t>
            </w:r>
          </w:p>
        </w:tc>
      </w:tr>
      <w:tr w:rsidR="00E4459A" w:rsidRPr="00E84ADC" w14:paraId="3DF25441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10B" w14:textId="77777777" w:rsidR="00E4459A" w:rsidRPr="00E84ADC" w:rsidRDefault="00E4459A" w:rsidP="00E4459A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3. Total cauze insolvabilitate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F62380" w14:textId="61BE3B34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EBCACC2" w14:textId="3C41212D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3C5E59" w14:textId="5D0B8691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FC6E4D" w14:textId="22CDB1B0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203E04" w14:textId="78F5F3B3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F7E237" w14:textId="3B2BA926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AE2BC1" w14:textId="78406ABE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120,0%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D14170" w14:textId="2D652F1A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hideMark/>
          </w:tcPr>
          <w:p w14:paraId="21C8339D" w14:textId="521155B4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16,7%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870E448" w14:textId="0AF0CDF1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0,0%</w:t>
            </w:r>
          </w:p>
        </w:tc>
      </w:tr>
      <w:tr w:rsidR="00E4459A" w:rsidRPr="00E84ADC" w14:paraId="6BF916F7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100" w14:textId="5072E157" w:rsidR="00E4459A" w:rsidRPr="00E84ADC" w:rsidRDefault="00E4459A" w:rsidP="00E4459A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3.a Proceduri de bază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D9B93F" w14:textId="73F63BD3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A45ADD" w14:textId="72EE70FF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3E93DF" w14:textId="68FFE279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BBA5B5" w14:textId="0B6D76E0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D0E678" w14:textId="0CCF397E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268201" w14:textId="3AC67048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56364F" w14:textId="2AAA389F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120,0%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6E354B" w14:textId="5A8A88FB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8FF2163" w14:textId="509E2AD0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EB0B413" w14:textId="6DE01FDC" w:rsidR="00E4459A" w:rsidRPr="00E84ADC" w:rsidRDefault="00E4459A" w:rsidP="00E4459A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0,0%</w:t>
            </w:r>
          </w:p>
        </w:tc>
      </w:tr>
      <w:tr w:rsidR="00930543" w:rsidRPr="00E84ADC" w14:paraId="46011E65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84F" w14:textId="77777777" w:rsidR="00930543" w:rsidRPr="00E84ADC" w:rsidRDefault="00930543" w:rsidP="00930543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3.b Litigii ce ţin de masa debitoare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6EBCC" w14:textId="77777777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50EDCA" w14:textId="2C0E7BF1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BF41D1" w14:textId="49C94986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4CA3D3" w14:textId="77777777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35B8A2" w14:textId="77777777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F8F6AC" w14:textId="77777777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BD377" w14:textId="187ACCC7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C51CC" w14:textId="5F88E6EB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E994" w14:textId="4BEB9155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D73D" w14:textId="75BF4FBE" w:rsidR="00930543" w:rsidRPr="00E84ADC" w:rsidRDefault="00930543" w:rsidP="00930543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C2007A" w:rsidRPr="00E84ADC" w14:paraId="06362A23" w14:textId="77777777" w:rsidTr="00C26E94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7DD5D" w14:textId="77777777" w:rsidR="00C2007A" w:rsidRPr="00E84ADC" w:rsidRDefault="00C2007A" w:rsidP="00DB0C1F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3.c Alte cereri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F3F600" w14:textId="77777777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314734" w14:textId="5935542E" w:rsidR="00C2007A" w:rsidRPr="00E84ADC" w:rsidRDefault="00930543" w:rsidP="00DB0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854A44" w14:textId="75147083" w:rsidR="00C2007A" w:rsidRPr="00E84ADC" w:rsidRDefault="00930543" w:rsidP="00DB0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7EEB44" w14:textId="77777777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14845F" w14:textId="77777777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26DCDF" w14:textId="77777777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41EDE" w14:textId="704FF77B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11768" w14:textId="46D61CD9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D076" w14:textId="1F1D91B7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93D6C" w14:textId="4C6BEE00" w:rsidR="00C2007A" w:rsidRPr="00E84ADC" w:rsidRDefault="00C2007A" w:rsidP="00DB0C1F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1A096E" w:rsidRPr="00E84ADC" w14:paraId="2AE3AD9D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248" w14:textId="77777777" w:rsidR="001A096E" w:rsidRPr="00E84ADC" w:rsidRDefault="001A096E" w:rsidP="001A096E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4. Total cauze de contencios administrativ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5F0C62" w14:textId="2044298A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6AD87B" w14:textId="2CD4D96B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FFA818" w14:textId="7A8BA98C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E09083" w14:textId="6B809E48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14CBBC" w14:textId="02EA761B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D88C1E" w14:textId="580C9E97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8423CE" w14:textId="13BFAFC8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99,2%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B5E710F" w14:textId="67A537D0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71243F20" w14:textId="684D6884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54,2%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E"/>
            <w:noWrap/>
            <w:hideMark/>
          </w:tcPr>
          <w:p w14:paraId="16969BCC" w14:textId="73CD3C22" w:rsidR="001A096E" w:rsidRPr="00E84ADC" w:rsidRDefault="001A096E" w:rsidP="001A0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8,5%</w:t>
            </w:r>
          </w:p>
        </w:tc>
      </w:tr>
      <w:tr w:rsidR="000B55AE" w:rsidRPr="00E84ADC" w14:paraId="5EFB3DAF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4F7" w14:textId="77777777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5. Total cauze penale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FF1C21" w14:textId="7D96DAEB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E6F654" w14:textId="43428903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84D446" w14:textId="0ECC3C55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D06084" w14:textId="66A78952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136EB0" w14:textId="72135E95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F8A1B65" w14:textId="31250D1D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049DA24" w14:textId="222E8B46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80,0%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4278DC" w14:textId="4C92A131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5D236B55" w14:textId="72E37709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22,9%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8"/>
            <w:noWrap/>
            <w:hideMark/>
          </w:tcPr>
          <w:p w14:paraId="32D98CCC" w14:textId="7C7A7DA6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11,7%</w:t>
            </w:r>
          </w:p>
        </w:tc>
      </w:tr>
      <w:tr w:rsidR="000B55AE" w:rsidRPr="00E84ADC" w14:paraId="0E7C84D0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8AA" w14:textId="77777777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5a. Omoruri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DCC6A5" w14:textId="67CE771B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BD8F91" w14:textId="2E9B7FAC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398F87" w14:textId="55264D97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4436F0" w14:textId="4F04117E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FC69A2" w14:textId="053BAA88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6D3A87" w14:textId="5CBF2DB0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6B1C3F" w14:textId="589A7B45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100,0%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275023" w14:textId="462360F9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noWrap/>
            <w:hideMark/>
          </w:tcPr>
          <w:p w14:paraId="613A31D8" w14:textId="3C2E6E8F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30,0%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10971139" w14:textId="28B06A97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20,0%</w:t>
            </w:r>
          </w:p>
        </w:tc>
      </w:tr>
      <w:tr w:rsidR="000B55AE" w:rsidRPr="00E84ADC" w14:paraId="2D36A3C2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F84" w14:textId="77777777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5b. Furturi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C8DE62" w14:textId="6298BFF6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60830DD" w14:textId="0D75D279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477144" w14:textId="442D1A7D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D11585" w14:textId="5EA7FB2A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E3364A9" w14:textId="7D124234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A97CF6" w14:textId="7054E38E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2BD3D8" w14:textId="455B201A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94,6%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6ABD36" w14:textId="0845DE99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02E9C638" w14:textId="79961A5D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22,9%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79"/>
            <w:noWrap/>
            <w:hideMark/>
          </w:tcPr>
          <w:p w14:paraId="5D6600B9" w14:textId="213CFBC3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Arial" w:hAnsi="Arial" w:cs="Arial"/>
                <w:sz w:val="16"/>
                <w:szCs w:val="16"/>
                <w:lang w:val="ro-RO"/>
              </w:rPr>
              <w:t>11,4%</w:t>
            </w:r>
          </w:p>
        </w:tc>
      </w:tr>
      <w:tr w:rsidR="000B55AE" w:rsidRPr="00E84ADC" w14:paraId="488C5759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51F32" w14:textId="77777777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6 Materiale Penale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FA9336" w14:textId="7C3B25AD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EE547C" w14:textId="101EDF18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563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2BF908" w14:textId="2D873597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533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FD7588" w14:textId="54EF6A2D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66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92C323" w14:textId="19D8B292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5502A9" w14:textId="2C5309D8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53EB6E" w14:textId="7FA7D428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94,7%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7BB33A" w14:textId="10631F9A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F7B"/>
            <w:noWrap/>
            <w:hideMark/>
          </w:tcPr>
          <w:p w14:paraId="1B9790DD" w14:textId="753CAD4E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0,6%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09D2B21" w14:textId="08DE2193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0,0%</w:t>
            </w:r>
          </w:p>
        </w:tc>
      </w:tr>
      <w:tr w:rsidR="000B55AE" w:rsidRPr="00E84ADC" w14:paraId="03B2DC33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BA50" w14:textId="1B996B3F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7. Total cauze </w:t>
            </w:r>
            <w:r w:rsidR="00BC26CF" w:rsidRPr="00E84ADC">
              <w:rPr>
                <w:rFonts w:ascii="Times New Roman" w:hAnsi="Times New Roman" w:cs="Times New Roman"/>
                <w:b/>
                <w:bCs/>
                <w:lang w:val="ro-RO"/>
              </w:rPr>
              <w:t>contravenționale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9B65C1" w14:textId="40388409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9B7D06" w14:textId="2D8244A1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1815D6" w14:textId="15429F2B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0A9799" w14:textId="4C683F68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668ECA" w14:textId="33EA905E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80BCCA" w14:textId="4F222A6C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9D77052" w14:textId="7719EECD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100,7%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FCB295" w14:textId="300044E4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15BF232" w14:textId="128A3D53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F672994" w14:textId="503F2052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0,0%</w:t>
            </w:r>
          </w:p>
        </w:tc>
      </w:tr>
      <w:tr w:rsidR="000B55AE" w:rsidRPr="00E84ADC" w14:paraId="6FC4F29A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44D" w14:textId="77777777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8. Total alte categorii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672B85" w14:textId="50248D24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FD5660" w14:textId="43CD0D27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FE7582C" w14:textId="08B69F15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2E6BC5" w14:textId="1804D002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E951F7" w14:textId="2D800871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FA2BB3" w14:textId="1708190C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6B49FD" w14:textId="4F746C62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100,0%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02788E" w14:textId="77AFCE28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DD7ACFE" w14:textId="35B48692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61431BD" w14:textId="068F99E5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0,0%</w:t>
            </w:r>
          </w:p>
        </w:tc>
      </w:tr>
      <w:tr w:rsidR="000B55AE" w:rsidRPr="00E84ADC" w14:paraId="3C7AB1BB" w14:textId="77777777" w:rsidTr="008A7BDF">
        <w:trPr>
          <w:trHeight w:val="397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021" w14:textId="77777777" w:rsidR="000B55AE" w:rsidRPr="00E84ADC" w:rsidRDefault="000B55AE" w:rsidP="000B55AE">
            <w:pPr>
              <w:spacing w:after="0"/>
              <w:ind w:left="3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lang w:val="ro-RO"/>
              </w:rPr>
              <w:t>Totalul calculat de cauze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5CC3DB" w14:textId="26955A86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D24F13" w14:textId="0CF02DB3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2 066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304D50" w14:textId="655410B4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1 934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12E5DA" w14:textId="72CC47CA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471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08DCB3" w14:textId="454B0087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257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078648" w14:textId="28277B97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DB76E65" w14:textId="2C62C9EF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93,6%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12E44B" w14:textId="70F421BC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hideMark/>
          </w:tcPr>
          <w:p w14:paraId="0CCCF5A7" w14:textId="1CB6F291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13,3%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noWrap/>
            <w:hideMark/>
          </w:tcPr>
          <w:p w14:paraId="2DF8CA6E" w14:textId="413313EE" w:rsidR="000B55AE" w:rsidRPr="00E84ADC" w:rsidRDefault="000B55AE" w:rsidP="000B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3,7%</w:t>
            </w:r>
          </w:p>
        </w:tc>
      </w:tr>
    </w:tbl>
    <w:p w14:paraId="556CD578" w14:textId="3B075DF1" w:rsidR="002704CB" w:rsidRPr="00E84ADC" w:rsidRDefault="002704CB" w:rsidP="001A7391">
      <w:pPr>
        <w:shd w:val="clear" w:color="auto" w:fill="8EAADB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</w:pPr>
      <w:bookmarkStart w:id="0" w:name="_Hlk62570976"/>
      <w:r w:rsidRPr="00E84ADC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Vârsta cauzelor</w:t>
      </w:r>
      <w:r w:rsidR="00C43664" w:rsidRPr="00E84ADC">
        <w:rPr>
          <w:sz w:val="24"/>
          <w:szCs w:val="24"/>
          <w:lang w:val="ro-RO"/>
        </w:rPr>
        <w:t xml:space="preserve"> </w:t>
      </w:r>
      <w:r w:rsidR="00C43664" w:rsidRPr="00E84ADC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pendinte</w:t>
      </w:r>
      <w:bookmarkEnd w:id="0"/>
    </w:p>
    <w:p w14:paraId="3C6235C1" w14:textId="77777777" w:rsidR="002704CB" w:rsidRPr="00E84ADC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4639BB" w14:textId="77777777" w:rsidR="002704CB" w:rsidRPr="00E84ADC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287"/>
        <w:gridCol w:w="1472"/>
        <w:gridCol w:w="1091"/>
        <w:gridCol w:w="1280"/>
        <w:gridCol w:w="1093"/>
        <w:gridCol w:w="1355"/>
        <w:gridCol w:w="1276"/>
        <w:gridCol w:w="1417"/>
        <w:gridCol w:w="1560"/>
      </w:tblGrid>
      <w:tr w:rsidR="002704CB" w:rsidRPr="00E84ADC" w14:paraId="4B0E12F9" w14:textId="77777777" w:rsidTr="00905674">
        <w:trPr>
          <w:trHeight w:val="1247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0218C4E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Anul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107038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Mai</w:t>
            </w:r>
          </w:p>
          <w:p w14:paraId="4BADCCB0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puțin de 1 an</w:t>
            </w:r>
          </w:p>
        </w:tc>
        <w:tc>
          <w:tcPr>
            <w:tcW w:w="147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5926C8E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3D5B74A7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897082D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1 și</w:t>
            </w:r>
          </w:p>
          <w:p w14:paraId="55219A8F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 ani</w:t>
            </w:r>
          </w:p>
        </w:tc>
        <w:tc>
          <w:tcPr>
            <w:tcW w:w="12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53355AA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 din</w:t>
            </w:r>
          </w:p>
          <w:p w14:paraId="1D6A1BF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total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ABEEDCE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2</w:t>
            </w:r>
          </w:p>
          <w:p w14:paraId="59B5B7F9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și</w:t>
            </w:r>
          </w:p>
          <w:p w14:paraId="2B5FB7E1" w14:textId="52A7886E" w:rsidR="002704CB" w:rsidRPr="00E84ADC" w:rsidRDefault="00857CD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5</w:t>
            </w:r>
            <w:r w:rsidR="002704CB"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ani</w:t>
            </w:r>
          </w:p>
        </w:tc>
        <w:tc>
          <w:tcPr>
            <w:tcW w:w="135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21E0636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 din total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E1066F" w14:textId="302AF6DD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Mai mult de </w:t>
            </w:r>
            <w:r w:rsidR="00CE7FB1"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5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ani</w:t>
            </w:r>
          </w:p>
        </w:tc>
        <w:tc>
          <w:tcPr>
            <w:tcW w:w="141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C0885E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603C794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B049D2A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TOTAL</w:t>
            </w:r>
          </w:p>
        </w:tc>
      </w:tr>
      <w:tr w:rsidR="002704CB" w:rsidRPr="00E84ADC" w14:paraId="5E84A318" w14:textId="77777777" w:rsidTr="00905674">
        <w:trPr>
          <w:trHeight w:val="810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FAB591" w14:textId="77777777" w:rsidR="002704CB" w:rsidRPr="00E84ADC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2E147716" w14:textId="77777777" w:rsidR="002704CB" w:rsidRPr="00E84ADC" w:rsidRDefault="002704C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31.12.2017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2940C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153</w:t>
            </w:r>
          </w:p>
        </w:tc>
        <w:tc>
          <w:tcPr>
            <w:tcW w:w="147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3A65466" w14:textId="08BCB39F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79,</w:t>
            </w:r>
            <w:r w:rsidR="00E86F68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6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9%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F00CBE8" w14:textId="5FC5AB96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</w:t>
            </w:r>
            <w:r w:rsidR="00F040A5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1280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C9B70FA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5,73%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249FDA9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1355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B952A3C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2,08%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824AF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581BEDE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12,5%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D8410C8" w14:textId="55B03A96" w:rsidR="002704CB" w:rsidRPr="00E84ADC" w:rsidRDefault="006E0B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192</w:t>
            </w:r>
          </w:p>
        </w:tc>
      </w:tr>
      <w:tr w:rsidR="002704CB" w:rsidRPr="00E84ADC" w14:paraId="2B14243F" w14:textId="77777777" w:rsidTr="00905674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71B2C7" w14:textId="77777777" w:rsidR="002704CB" w:rsidRPr="00E84ADC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21E434B7" w14:textId="77777777" w:rsidR="002704CB" w:rsidRPr="00E84ADC" w:rsidRDefault="002704C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31.12.2018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AC721B4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197</w:t>
            </w:r>
          </w:p>
        </w:tc>
        <w:tc>
          <w:tcPr>
            <w:tcW w:w="147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464CC55" w14:textId="586E919A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9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6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,5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7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 xml:space="preserve"> %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9FFBFD5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1280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36F17E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2,45 %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7F41A35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1355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A9E4CAD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0,98 %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5F0789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54E25DA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0,00 %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20EC12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204</w:t>
            </w:r>
          </w:p>
        </w:tc>
      </w:tr>
      <w:tr w:rsidR="002704CB" w:rsidRPr="00E84ADC" w14:paraId="5C6F7E0E" w14:textId="77777777" w:rsidTr="00905674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EBF5822" w14:textId="77777777" w:rsidR="002704CB" w:rsidRPr="00E84ADC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4DA4E29F" w14:textId="77777777" w:rsidR="002704CB" w:rsidRPr="00E84ADC" w:rsidRDefault="002704CB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31.12.2019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996D889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189</w:t>
            </w:r>
          </w:p>
        </w:tc>
        <w:tc>
          <w:tcPr>
            <w:tcW w:w="147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FDD364" w14:textId="51CD8BCB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9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,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94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6A37214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</w:t>
            </w:r>
          </w:p>
        </w:tc>
        <w:tc>
          <w:tcPr>
            <w:tcW w:w="12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75C3F6F" w14:textId="10A4E6E6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2,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54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8FA5AD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2</w:t>
            </w:r>
          </w:p>
        </w:tc>
        <w:tc>
          <w:tcPr>
            <w:tcW w:w="1355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7AE76E" w14:textId="53887990" w:rsidR="002704CB" w:rsidRPr="00E84ADC" w:rsidRDefault="00B724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,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02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10D4930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5BDBBA9" w14:textId="183B3D30" w:rsidR="002704CB" w:rsidRPr="00E84ADC" w:rsidRDefault="00D95B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0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,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AD51ABB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197</w:t>
            </w:r>
          </w:p>
        </w:tc>
      </w:tr>
      <w:tr w:rsidR="00A85143" w:rsidRPr="00E84ADC" w14:paraId="208F6866" w14:textId="77777777" w:rsidTr="00905674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C9FB426" w14:textId="77777777" w:rsidR="00306FCB" w:rsidRPr="00E84ADC" w:rsidRDefault="00306FCB" w:rsidP="0030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71041055" w14:textId="4CA4683D" w:rsidR="00A85143" w:rsidRPr="00E84ADC" w:rsidRDefault="00306FCB" w:rsidP="0030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31.12.2020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F385E3" w14:textId="20BDB3C2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260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0643CCA" w14:textId="28A5E65B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97,0%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07CFDBA" w14:textId="33EAD0E8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8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1EBB95" w14:textId="5D9CD563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3,00%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0F3C5D" w14:textId="64B3111A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</w:t>
            </w:r>
          </w:p>
        </w:tc>
        <w:tc>
          <w:tcPr>
            <w:tcW w:w="1355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78B9195" w14:textId="44A3FFFE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0,00%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5CB3C7" w14:textId="62A07C2D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F69D167" w14:textId="41C8C06F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0,00%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933CC6" w14:textId="4D8B465A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268</w:t>
            </w:r>
          </w:p>
        </w:tc>
      </w:tr>
      <w:tr w:rsidR="00F12E20" w:rsidRPr="00E84ADC" w14:paraId="69263B6A" w14:textId="77777777" w:rsidTr="00905674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B59F8B2" w14:textId="77777777" w:rsidR="00F12E20" w:rsidRPr="00E84ADC" w:rsidRDefault="00F12E20" w:rsidP="00F1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27B0B162" w14:textId="3282CE26" w:rsidR="00F12E20" w:rsidRPr="00E84ADC" w:rsidRDefault="00F12E20" w:rsidP="00F1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31.12.2021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091D159" w14:textId="1B656137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324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5190785" w14:textId="1B4F30EE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95,86%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C423809" w14:textId="4814EBE8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11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36C6605" w14:textId="65AB0E21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2,96%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92A2DC" w14:textId="6E49E293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47EB1FA" w14:textId="23861265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1,18%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B7EBEC7" w14:textId="697C833B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869B4FC" w14:textId="68C366C4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0,00%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CF1C" w14:textId="0A79D77F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  <w:t>339</w:t>
            </w:r>
          </w:p>
        </w:tc>
      </w:tr>
      <w:tr w:rsidR="00BE2760" w:rsidRPr="00E84ADC" w14:paraId="493CBF10" w14:textId="77777777" w:rsidTr="00905674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E1C9E5" w14:textId="77777777" w:rsidR="00BE2760" w:rsidRPr="00E84ADC" w:rsidRDefault="00BE2760" w:rsidP="00BE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48E2BD72" w14:textId="0EA9758C" w:rsidR="00BE2760" w:rsidRPr="00E84ADC" w:rsidRDefault="00BE2760" w:rsidP="00BE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31.12.2022</w:t>
            </w:r>
          </w:p>
        </w:tc>
        <w:tc>
          <w:tcPr>
            <w:tcW w:w="1287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D8A8B71" w14:textId="49657429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438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7143D67" w14:textId="54262DE6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92,99%</w:t>
            </w:r>
          </w:p>
        </w:tc>
        <w:tc>
          <w:tcPr>
            <w:tcW w:w="1091" w:type="dxa"/>
            <w:shd w:val="clear" w:color="auto" w:fill="B4C6E7" w:themeFill="accent1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E84599B" w14:textId="57BBB316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26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66E6A33" w14:textId="56D2275C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5,52%</w:t>
            </w:r>
          </w:p>
        </w:tc>
        <w:tc>
          <w:tcPr>
            <w:tcW w:w="1093" w:type="dxa"/>
            <w:shd w:val="clear" w:color="auto" w:fill="DEEAF6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4ECE6AA" w14:textId="573CE27E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</w:t>
            </w:r>
          </w:p>
        </w:tc>
        <w:tc>
          <w:tcPr>
            <w:tcW w:w="1355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F59F42E" w14:textId="55C9CF18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1,27%</w:t>
            </w:r>
          </w:p>
        </w:tc>
        <w:tc>
          <w:tcPr>
            <w:tcW w:w="1276" w:type="dxa"/>
            <w:shd w:val="clear" w:color="auto" w:fill="9CC2E5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8F95C41" w14:textId="3A1AA4F6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15517C3" w14:textId="2B3731A8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0,21%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7D47EB" w14:textId="7F78CE06" w:rsidR="00BE2760" w:rsidRPr="00E84ADC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B9BD5" w:themeColor="accent5"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471</w:t>
            </w:r>
          </w:p>
        </w:tc>
      </w:tr>
    </w:tbl>
    <w:p w14:paraId="3C43BE52" w14:textId="77777777" w:rsidR="002704CB" w:rsidRPr="00E84ADC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10021D1" w14:textId="0E324FA6" w:rsidR="00C40762" w:rsidRPr="00E84ADC" w:rsidRDefault="00C40762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B2650F9" w14:textId="47FD26BD" w:rsidR="000A04BE" w:rsidRPr="00E84ADC" w:rsidRDefault="000A04BE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C40909" w14:textId="77777777" w:rsidR="000A04BE" w:rsidRPr="00E84ADC" w:rsidRDefault="000A04BE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279F17" w14:textId="7CFAA06D" w:rsidR="00C26E94" w:rsidRPr="00E84ADC" w:rsidRDefault="00C26E94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3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1"/>
      </w:tblGrid>
      <w:tr w:rsidR="00EE3488" w:rsidRPr="00E84ADC" w14:paraId="57A4D054" w14:textId="77777777" w:rsidTr="00D22CE3">
        <w:trPr>
          <w:trHeight w:val="454"/>
        </w:trPr>
        <w:tc>
          <w:tcPr>
            <w:tcW w:w="13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26F1" w14:textId="5A264AEC" w:rsidR="00EE3488" w:rsidRPr="00E84ADC" w:rsidRDefault="00EE3488" w:rsidP="00EE3488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>Numărul de cauze pendinte:</w:t>
            </w:r>
          </w:p>
        </w:tc>
      </w:tr>
      <w:tr w:rsidR="00E317CE" w:rsidRPr="00E84ADC" w14:paraId="1D7380A8" w14:textId="77777777" w:rsidTr="008A7BDF">
        <w:trPr>
          <w:cantSplit/>
          <w:trHeight w:val="5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674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Tipul de cauze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075" w14:textId="63BDD66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Mai puțin de 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D23" w14:textId="765BCD8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905" w14:textId="68BCA0A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Între 1 și 2 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C39" w14:textId="733185D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485" w14:textId="024C570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Între 2 și 5 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5AE" w14:textId="71FB746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2300" w14:textId="6995704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Mai mult de 5 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915" w14:textId="4153348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000000"/>
            </w:tcBorders>
            <w:textDirection w:val="tbRl"/>
            <w:vAlign w:val="center"/>
          </w:tcPr>
          <w:p w14:paraId="31A18B8D" w14:textId="0B3F0F8E" w:rsidR="00E317CE" w:rsidRPr="00E84ADC" w:rsidRDefault="00E317CE" w:rsidP="00E31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E317CE" w:rsidRPr="00E84ADC" w14:paraId="1727B74C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7E1A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1. Total cauze civile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C199D2" w14:textId="72B4F18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14:paraId="1E36AFD5" w14:textId="7A4815D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21,44%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044E1B" w14:textId="30B1695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14:paraId="47352AFA" w14:textId="5461991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1,49%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BE8DC0" w14:textId="7889A3E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vAlign w:val="center"/>
            <w:hideMark/>
          </w:tcPr>
          <w:p w14:paraId="7250E77F" w14:textId="0AA78E1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CDF0CB" w14:textId="6E11588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B9B66C1" w14:textId="44DA3C9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63C1A6C5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33CE0943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F61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 xml:space="preserve">1a. Restabilirea 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î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n func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ţ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E8151A" w14:textId="0EC8660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14:paraId="497E3965" w14:textId="22ED561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0,64%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6CC551" w14:textId="230B835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14:paraId="09DA5DF1" w14:textId="61CB9ED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528BCB" w14:textId="20C7F63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EC9A8CA" w14:textId="1A0963F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5D1024" w14:textId="0D084B9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2412F36" w14:textId="7E69C4B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09BD074F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63FC87CD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2596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1b. Desfacerea c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s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toriei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1CA197" w14:textId="6D51C83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vAlign w:val="center"/>
            <w:hideMark/>
          </w:tcPr>
          <w:p w14:paraId="5D6FFD3D" w14:textId="29533DD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5306C5" w14:textId="1C05D0A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83785D7" w14:textId="3961BA5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164D84" w14:textId="3278809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3A89492" w14:textId="3FF0236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589A28" w14:textId="37D0E62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31EA056" w14:textId="6C253C7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38F9D8BC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443E33DB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2A5B4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2. Total cauze comerciale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CBC941" w14:textId="4790499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14:paraId="50F47471" w14:textId="566F2F7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3,40%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23E4DF" w14:textId="1F6EE6D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5102656" w14:textId="7AF5E2E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9B9D98" w14:textId="60E539F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14:paraId="77F97681" w14:textId="31C7B12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442C19" w14:textId="5600940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A5C9107" w14:textId="7953344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3C347A22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0DB40175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9AB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3. Total cauze insolvabilitate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9182E" w14:textId="55AF0A8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2118C5C" w14:textId="6AD5BD9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424B42" w14:textId="11E826B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84E18C4" w14:textId="2C7E654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18F671" w14:textId="0394F8E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3B2FB5C" w14:textId="41BA902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61B5A3" w14:textId="1E31D1C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382176A" w14:textId="3B2297E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10C91840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2BB4830F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8D71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3.a Proceduri de baz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46FAC5" w14:textId="33ADE44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C0F45C8" w14:textId="0E54618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F51146" w14:textId="59FFA4D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4A4A1F2" w14:textId="1C38E55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E5699A" w14:textId="5C03603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E1104A0" w14:textId="4B142B9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EB3322" w14:textId="327A4C1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315845C" w14:textId="5103802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6B836B33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392FB557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A6D9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 xml:space="preserve">3.b Litigii ce 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ţ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in de masa debitoare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51A8D9" w14:textId="0308D6E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DC77AC1" w14:textId="42B9C49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BD0393" w14:textId="6C0F262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63EE07D" w14:textId="1AFF7E6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36FD31" w14:textId="791E67D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99C1C36" w14:textId="6BCC970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F33489" w14:textId="504290C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1333B58" w14:textId="0EA6D52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45787510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00EF2242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4C8BDD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3.c Alte cereri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9EA581" w14:textId="327E281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E402864" w14:textId="596780B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5A7F23" w14:textId="2F74F24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0CC3076" w14:textId="2447E74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6C1B67" w14:textId="784146B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263ED8D" w14:textId="3C11950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9CF75E" w14:textId="5C9FF09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6CA8D05" w14:textId="746C24A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2390B150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06F9E2B8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E96F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4. Total cauze de contencios administrativ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652EA6" w14:textId="27C06E2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14:paraId="51BB8E44" w14:textId="1CF597A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5,94%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4D9934" w14:textId="21B7F37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14:paraId="72FB12D7" w14:textId="41EB7F9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0EAFBA" w14:textId="78D64EA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F784285" w14:textId="03BF718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CBAE4" w14:textId="5A28CC5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2EBA76C0" w14:textId="64914FF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426A66E3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5DE6FC2B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E90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5. Total cauze penale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81BA1D" w14:textId="6034BDDA" w:rsidR="00E317CE" w:rsidRPr="00E84ADC" w:rsidRDefault="00DA2950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  <w:hideMark/>
          </w:tcPr>
          <w:p w14:paraId="7FCDAF2A" w14:textId="138895F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38,85%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C5ED26" w14:textId="65F7FC77" w:rsidR="00E317CE" w:rsidRPr="00E84ADC" w:rsidRDefault="00DA2950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774"/>
            <w:vAlign w:val="center"/>
            <w:hideMark/>
          </w:tcPr>
          <w:p w14:paraId="14278D45" w14:textId="0E79743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3,61%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347F6" w14:textId="2E24A98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  <w:hideMark/>
          </w:tcPr>
          <w:p w14:paraId="17CC958A" w14:textId="6A24D33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0,42%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919B90" w14:textId="717E06F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309A147" w14:textId="0FDFA27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337D02F3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490A9830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D9F0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5a. Omoruri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097746" w14:textId="1B75100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27317CEB" w14:textId="4DE24EE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0,85%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920319" w14:textId="49A93D3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C8DAF5B" w14:textId="512E9F7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D3361" w14:textId="486A250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DF8CF1A" w14:textId="6D06AFF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2E017E" w14:textId="11EFF76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8FC31F0" w14:textId="3E45196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0E14A500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28D4EEF4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334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5b. Furturi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87EC97" w14:textId="10F4E54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3F8C60BB" w14:textId="4DCC777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2,55%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67B3CA" w14:textId="47F1E33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14:paraId="3068F54C" w14:textId="7E4C87C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0,42%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971ED4" w14:textId="4947975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1868A06" w14:textId="416A502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69EE4F" w14:textId="19717DB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7E81647" w14:textId="4E677EF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2DAB89DF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2F44A804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04C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6 Materiale Penale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46BC4B" w14:textId="3C07FDC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vAlign w:val="center"/>
            <w:hideMark/>
          </w:tcPr>
          <w:p w14:paraId="48B24411" w14:textId="202805F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14,01%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A0A34" w14:textId="6703018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296586A" w14:textId="4C098D8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CAA728" w14:textId="48BF9C2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57BA2C5" w14:textId="1208DC2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200F25" w14:textId="061BE6B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FF1E565" w14:textId="4779874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"/>
            <w:vAlign w:val="center"/>
          </w:tcPr>
          <w:p w14:paraId="6DFA1D58" w14:textId="67BCD431" w:rsidR="00E317CE" w:rsidRPr="00E84ADC" w:rsidRDefault="00E317CE" w:rsidP="00E317CE">
            <w:pPr>
              <w:spacing w:after="0" w:line="240" w:lineRule="auto"/>
              <w:ind w:left="113" w:right="113"/>
              <w:jc w:val="right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24"/>
                <w:szCs w:val="24"/>
                <w:lang w:val="ro-RO"/>
              </w:rPr>
              <w:t>Grand total    471</w:t>
            </w:r>
          </w:p>
        </w:tc>
      </w:tr>
      <w:tr w:rsidR="00E317CE" w:rsidRPr="00E84ADC" w14:paraId="34A76E72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C6B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7. Total cauze contraven</w:t>
            </w: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ţ</w:t>
            </w: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ionale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C7334" w14:textId="5D3CEB7F" w:rsidR="00E317CE" w:rsidRPr="00E84ADC" w:rsidRDefault="00DA2950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14:paraId="0BBC4EF6" w14:textId="38758A3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6,58%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DE844" w14:textId="44BB8690" w:rsidR="00E317CE" w:rsidRPr="00E84ADC" w:rsidRDefault="00DA2950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14:paraId="46345BAF" w14:textId="2115603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AE2063" w14:textId="1FC1177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01D71AB" w14:textId="17E7A87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9EA90E" w14:textId="1D88ED6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5C84258" w14:textId="391FF23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2EA61604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0763DBFC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0D6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8. Total alte categorii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227EA" w14:textId="7359FC6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14:paraId="1572225D" w14:textId="0CC03D7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2,76%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9D020E" w14:textId="02904D4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064BCBC" w14:textId="1845B40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A9567C" w14:textId="37C0799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26792E2" w14:textId="57070B2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7ADF03" w14:textId="00725B1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6CA5A0C" w14:textId="6B1CE2E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6BED3DAC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20C7A48C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6A0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8.1 Procedura special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39E4D1" w14:textId="36E3C3A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790C04B5" w14:textId="5B0F15C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1,06%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1D8B57" w14:textId="1A2851E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1775E8C" w14:textId="3A0125D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307CF" w14:textId="0747977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6FF8011" w14:textId="1E1E93F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E0ED5D" w14:textId="2A90008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9FEAC74" w14:textId="1B93E44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0A2AA34E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6437E2F9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004271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8.1.1 Ordonan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ţ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e de protec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ț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1A2BE" w14:textId="3FC48C1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vAlign w:val="center"/>
            <w:hideMark/>
          </w:tcPr>
          <w:p w14:paraId="20CD4DFC" w14:textId="78863F6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3572DE" w14:textId="70CE369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084A2F0" w14:textId="6B5F53F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6BA76E" w14:textId="7BF6E05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C03036D" w14:textId="00A17E7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A7259F" w14:textId="16556E2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95B0101" w14:textId="357584C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43425EB3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4D586224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6484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8.2 Ordonan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ţ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1BF1AD" w14:textId="1B09213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2132587" w14:textId="4A2998F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93A848" w14:textId="58BB3C7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2AB7C6B" w14:textId="43DB319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D0D96F" w14:textId="6A32C6D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2323285" w14:textId="6452BA4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C8DED3" w14:textId="2CD562B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7191B91" w14:textId="3E612F7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19437E7E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0871FCCB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C06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8.3 Materiale p/d executarea hot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r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î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rilor judec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tore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ș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A08011" w14:textId="682B92F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455DD681" w14:textId="31700B2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1,27%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FAF3E5" w14:textId="76979D2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56B7AA6" w14:textId="03F2B70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4CFFB5" w14:textId="45D8757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FFA8E95" w14:textId="6583757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CBD13" w14:textId="26728F1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72E5EA9" w14:textId="61A7A53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78F274A6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900941" w:rsidRPr="00E84ADC" w14:paraId="1F446856" w14:textId="77777777" w:rsidTr="00900941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E39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8.4 Recuz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ri, ab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ţ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ineri, str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mut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ă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577635" w14:textId="1545A9FA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5E9D42" w14:textId="2AEC7B4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C3A3D3" w14:textId="7C726EA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B70ADFE" w14:textId="52A561E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CFC909" w14:textId="4217DDC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A6016FE" w14:textId="2B66399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5ED501" w14:textId="5809B7E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81E7330" w14:textId="56BD687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6335BA99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3A084A4D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C2C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>8.4 Altele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D3CEE9" w14:textId="19AE3DF2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780"/>
            <w:vAlign w:val="center"/>
            <w:hideMark/>
          </w:tcPr>
          <w:p w14:paraId="2CB5B310" w14:textId="10974BC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0,42%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32E4D" w14:textId="20B0510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C34105E" w14:textId="1CB4D2F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64E287" w14:textId="42632D4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D5342F6" w14:textId="7E2D199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3CC330" w14:textId="39393425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C18F0E3" w14:textId="1EC4DB5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43DE163F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42D1E86A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686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9.0  Total Cereri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93A89D" w14:textId="2E84B07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FB88BA4" w14:textId="29A7245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D1EF1D" w14:textId="44386D4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1CF11E4" w14:textId="1195427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E0FF4" w14:textId="51EBE77B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AE6B8FE" w14:textId="6F58E8B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53A856" w14:textId="7F28349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346DD0B2" w14:textId="0F09E29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73EC1441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2DC51B28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0C71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 xml:space="preserve">9.1 Cereri  cu statul 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”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repartizate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00E09" w14:textId="67FBE9F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2E757F2" w14:textId="0BBA8E6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25AF3D" w14:textId="60DA2CF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0C08635" w14:textId="2C61B9A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E9914B" w14:textId="395BC0E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F77D59F" w14:textId="7247F143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4AF367" w14:textId="001E529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D688A8F" w14:textId="651A3FD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2E988F7B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5EB8EF5C" w14:textId="77777777" w:rsidTr="008A7BDF">
        <w:trPr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8D38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sz w:val="18"/>
                <w:szCs w:val="18"/>
                <w:lang w:val="ro-RO"/>
              </w:rPr>
              <w:t xml:space="preserve">9.2 Cereri la care nu s-a dat curs, refuzate 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ș</w:t>
            </w:r>
            <w:r w:rsidRPr="00E84ADC">
              <w:rPr>
                <w:rFonts w:ascii="Times New Roman"/>
                <w:sz w:val="18"/>
                <w:szCs w:val="18"/>
                <w:lang w:val="ro-RO"/>
              </w:rPr>
              <w:t>i restituite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98651" w14:textId="73F7573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1832BDB3" w14:textId="4C3CCC7F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A4418F" w14:textId="22FB37B4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173FA5E" w14:textId="54CD77C0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58C5E2" w14:textId="364321F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DAC51DC" w14:textId="08B5BC9C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D27D6" w14:textId="177770E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77DF816" w14:textId="54F3374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26A33870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  <w:tr w:rsidR="00E317CE" w:rsidRPr="00E84ADC" w14:paraId="4A0F0997" w14:textId="77777777" w:rsidTr="008A7BDF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91FB" w14:textId="77777777" w:rsidR="00E317CE" w:rsidRPr="00E84ADC" w:rsidRDefault="00E317CE" w:rsidP="00E317CE">
            <w:pPr>
              <w:spacing w:after="0" w:line="240" w:lineRule="auto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Times New Roman"/>
                <w:b/>
                <w:bCs/>
                <w:sz w:val="18"/>
                <w:szCs w:val="18"/>
                <w:lang w:val="ro-RO"/>
              </w:rPr>
              <w:t>Totalul calculat de cauze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A2A" w14:textId="6C4BF9A1" w:rsidR="00E317CE" w:rsidRPr="00E84ADC" w:rsidRDefault="008A7BDF" w:rsidP="00E317CE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195DEA07" w14:textId="0DAA8A86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92,99%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DEF" w14:textId="63101BAA" w:rsidR="00E317CE" w:rsidRPr="00E84ADC" w:rsidRDefault="008A7BDF" w:rsidP="00E317CE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51D416ED" w14:textId="158721ED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5,52%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86A" w14:textId="6D499CF1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6CCBDF0" w14:textId="509A4A9E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1,27%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B73" w14:textId="4EB49218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b/>
                <w:bCs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1C4FCDC3" w14:textId="6B75A1A9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  <w:r w:rsidRPr="00E84ADC">
              <w:rPr>
                <w:rFonts w:ascii="Arial" w:hAnsi="Arial" w:cs="Arial"/>
                <w:sz w:val="20"/>
                <w:szCs w:val="20"/>
                <w:lang w:val="ro-RO"/>
              </w:rPr>
              <w:t>0,21%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696B"/>
            <w:vAlign w:val="center"/>
          </w:tcPr>
          <w:p w14:paraId="3C95634B" w14:textId="77777777" w:rsidR="00E317CE" w:rsidRPr="00E84ADC" w:rsidRDefault="00E317CE" w:rsidP="00E317CE">
            <w:pPr>
              <w:spacing w:after="0" w:line="240" w:lineRule="auto"/>
              <w:jc w:val="center"/>
              <w:rPr>
                <w:rFonts w:ascii="Times New Roman"/>
                <w:sz w:val="18"/>
                <w:szCs w:val="18"/>
                <w:lang w:val="ro-RO"/>
              </w:rPr>
            </w:pPr>
          </w:p>
        </w:tc>
      </w:tr>
    </w:tbl>
    <w:p w14:paraId="773A5107" w14:textId="13437D45" w:rsidR="00375958" w:rsidRPr="00E84ADC" w:rsidRDefault="00375958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096"/>
        <w:gridCol w:w="936"/>
        <w:gridCol w:w="1096"/>
        <w:gridCol w:w="1096"/>
        <w:gridCol w:w="1096"/>
        <w:gridCol w:w="1204"/>
        <w:gridCol w:w="1267"/>
      </w:tblGrid>
      <w:tr w:rsidR="00375958" w:rsidRPr="00E84ADC" w14:paraId="46470FB5" w14:textId="77777777" w:rsidTr="001E110C">
        <w:trPr>
          <w:trHeight w:val="243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EC2" w14:textId="64A33F41" w:rsidR="00375958" w:rsidRPr="00E84ADC" w:rsidRDefault="00AD2D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Indicatorii de performanță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9B3B" w14:textId="77777777" w:rsidR="00375958" w:rsidRPr="00E84ADC" w:rsidRDefault="003759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Anii de raportare</w:t>
            </w:r>
          </w:p>
        </w:tc>
      </w:tr>
      <w:tr w:rsidR="001E110C" w:rsidRPr="00E84ADC" w14:paraId="3603EACD" w14:textId="56328D75" w:rsidTr="001E110C">
        <w:trPr>
          <w:trHeight w:val="313"/>
          <w:jc w:val="center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476" w14:textId="77777777" w:rsidR="001E110C" w:rsidRPr="00E84ADC" w:rsidRDefault="001E110C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A750" w14:textId="77777777" w:rsidR="001E110C" w:rsidRPr="00E84ADC" w:rsidRDefault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76BC" w14:textId="77777777" w:rsidR="001E110C" w:rsidRPr="00E84ADC" w:rsidRDefault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FFDD" w14:textId="77777777" w:rsidR="001E110C" w:rsidRPr="00E84ADC" w:rsidRDefault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7489" w14:textId="77777777" w:rsidR="001E110C" w:rsidRPr="00E84ADC" w:rsidRDefault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8EE7" w14:textId="77777777" w:rsidR="001E110C" w:rsidRPr="00E84ADC" w:rsidRDefault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5F34F" w14:textId="77777777" w:rsidR="001E110C" w:rsidRPr="00E84ADC" w:rsidRDefault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9A1B6" w14:textId="07FC80AC" w:rsidR="001E110C" w:rsidRPr="00E84ADC" w:rsidRDefault="001E110C" w:rsidP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2022</w:t>
            </w:r>
          </w:p>
        </w:tc>
      </w:tr>
      <w:tr w:rsidR="001E110C" w:rsidRPr="00E84ADC" w14:paraId="56B22874" w14:textId="4445ECB9" w:rsidTr="001E110C">
        <w:trPr>
          <w:trHeight w:val="279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0CA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Total cauze soluționate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78D0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987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9ED3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1183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E7A3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1332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09AA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1517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BA78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1378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3CE1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1896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75856" w14:textId="45C8B03E" w:rsidR="001E110C" w:rsidRPr="00E84ADC" w:rsidRDefault="001E110C" w:rsidP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1934</w:t>
            </w:r>
          </w:p>
        </w:tc>
      </w:tr>
      <w:tr w:rsidR="001E110C" w:rsidRPr="00E84ADC" w14:paraId="70A9F9A9" w14:textId="742D5B83" w:rsidTr="001E110C">
        <w:trPr>
          <w:trHeight w:val="25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DB20" w14:textId="116599AE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Numărul de hotărâri/decizii/încheieri ale Curții de Apel Comrat atacate la Curtea Supremă de Justiție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21E1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AAFB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46D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787A3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6EFA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D42D6" w14:textId="77777777" w:rsidR="001E110C" w:rsidRPr="00E84ADC" w:rsidRDefault="001E110C" w:rsidP="008B35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9393" w14:textId="4FBC97AC" w:rsidR="001E110C" w:rsidRPr="00E84ADC" w:rsidRDefault="007D51BD" w:rsidP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257</w:t>
            </w:r>
          </w:p>
        </w:tc>
      </w:tr>
      <w:tr w:rsidR="001E110C" w:rsidRPr="00E84ADC" w14:paraId="45CBDE07" w14:textId="28919ECC" w:rsidTr="001B296E">
        <w:trPr>
          <w:trHeight w:val="42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DBB437" w14:textId="01C56176" w:rsidR="001E110C" w:rsidRPr="00E84ADC" w:rsidRDefault="001E110C" w:rsidP="00E24DA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color w:val="000000"/>
                <w:sz w:val="32"/>
                <w:szCs w:val="32"/>
                <w:lang w:val="ro-RO"/>
              </w:rPr>
              <w:t>Indicatorul</w:t>
            </w:r>
            <w:r w:rsidRPr="00E84A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 xml:space="preserve"> </w:t>
            </w:r>
            <w:r w:rsidRPr="00E84AD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val="ro-RO"/>
              </w:rPr>
              <w:t>„Rata deciziilor atacate cu recurs”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5E9D8A81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18,5%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CD75F9D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D7BE153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14,8%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4801E72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13,8%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21CC777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14,7%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51D0816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15,7%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585C2BC" w14:textId="722B4B78" w:rsidR="001E110C" w:rsidRPr="00E84ADC" w:rsidRDefault="007D51BD" w:rsidP="001E110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13,3%</w:t>
            </w:r>
          </w:p>
        </w:tc>
      </w:tr>
      <w:tr w:rsidR="001E110C" w:rsidRPr="00E84ADC" w14:paraId="6ED52B1A" w14:textId="70CD093D" w:rsidTr="001E110C">
        <w:trPr>
          <w:trHeight w:val="262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8890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Decizii casate/modificate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C3DE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0765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8F53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30A0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6349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B659" w14:textId="77777777" w:rsidR="001E110C" w:rsidRPr="00E84ADC" w:rsidRDefault="001E110C" w:rsidP="00E24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850DD" w14:textId="31808712" w:rsidR="001E110C" w:rsidRPr="00E84ADC" w:rsidRDefault="007D51BD" w:rsidP="001E11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72</w:t>
            </w:r>
          </w:p>
        </w:tc>
      </w:tr>
      <w:tr w:rsidR="001E110C" w:rsidRPr="00E84ADC" w14:paraId="034A92AD" w14:textId="557C55B2" w:rsidTr="001E110C">
        <w:trPr>
          <w:trHeight w:val="262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E37C2F" w14:textId="77777777" w:rsidR="001E110C" w:rsidRPr="00E84ADC" w:rsidRDefault="001E110C" w:rsidP="00E24DA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color w:val="000000"/>
                <w:sz w:val="32"/>
                <w:szCs w:val="32"/>
                <w:lang w:val="ro-RO"/>
              </w:rPr>
              <w:t xml:space="preserve">Indicatorul </w:t>
            </w:r>
            <w:r w:rsidRPr="00E84AD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val="ro-RO"/>
              </w:rPr>
              <w:t>„Rata recursurilor reușite”</w:t>
            </w:r>
            <w:r w:rsidRPr="00E84A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 xml:space="preserve">  </w:t>
            </w: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în 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1FD4BD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3,2%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14:paraId="1C314350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4,7%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F006CA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4,4%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B414C1A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3,7%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3113752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3,6%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6840F45" w14:textId="77777777" w:rsidR="001E110C" w:rsidRPr="00E84ADC" w:rsidRDefault="001E110C" w:rsidP="00E24D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4,1%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DF06FD3" w14:textId="70263656" w:rsidR="001E110C" w:rsidRPr="00E84ADC" w:rsidRDefault="007D51BD" w:rsidP="001E110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3,7%</w:t>
            </w:r>
          </w:p>
        </w:tc>
      </w:tr>
    </w:tbl>
    <w:p w14:paraId="1F298022" w14:textId="16255772" w:rsidR="00375958" w:rsidRPr="00E84ADC" w:rsidRDefault="00375958" w:rsidP="00960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7508"/>
      </w:tblGrid>
      <w:tr w:rsidR="00E77FC2" w:rsidRPr="00E84ADC" w14:paraId="13D15CA5" w14:textId="77777777" w:rsidTr="00E77FC2">
        <w:trPr>
          <w:trHeight w:val="1862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A91" w14:textId="44BA6D68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1. Rata deciziilor atacate cu apel/recurs</w:t>
            </w:r>
          </w:p>
          <w:p w14:paraId="4F8BE716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  <w:p w14:paraId="452D097D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Formula de calcul: </w:t>
            </w:r>
          </w:p>
          <w:p w14:paraId="6BD1E81C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% = decizii sau hotărâri atacate cu apel sau recurs / total decizii sau hotărâri emise x 100 %</w:t>
            </w:r>
          </w:p>
          <w:p w14:paraId="6EC262FE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EF9" w14:textId="1A3E5CC1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2. Rata apelurilor reușite</w:t>
            </w:r>
          </w:p>
          <w:p w14:paraId="28B1544F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14:paraId="35FC29F9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Formula de calcul: </w:t>
            </w:r>
          </w:p>
          <w:p w14:paraId="25E3160B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% = decizii sau hotărâri modificate sau anulate de instanța de apel sau recurs / total decizii sau hotărâri emise x 100 % </w:t>
            </w:r>
          </w:p>
        </w:tc>
      </w:tr>
    </w:tbl>
    <w:p w14:paraId="319861A5" w14:textId="3DE6B761" w:rsidR="00375958" w:rsidRPr="00E84ADC" w:rsidRDefault="00375958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38D83E8" w14:textId="77777777" w:rsidR="007F01C9" w:rsidRPr="00E84ADC" w:rsidRDefault="007F01C9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  <w:r w:rsidRPr="00E84ADC">
        <w:rPr>
          <w:rFonts w:ascii="Times New Roman"/>
          <w:sz w:val="26"/>
          <w:szCs w:val="26"/>
          <w:lang w:val="ro-RO"/>
        </w:rPr>
        <w:t xml:space="preserve">  </w:t>
      </w:r>
    </w:p>
    <w:p w14:paraId="28B3F0D7" w14:textId="0ADB4E09" w:rsidR="007F01C9" w:rsidRPr="00E84ADC" w:rsidRDefault="007F01C9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1A4D642C" w14:textId="2608A89A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3538F3C3" w14:textId="64EC552E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598CC1A4" w14:textId="07ED9B0E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41621FD5" w14:textId="6C6C0D9C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085314B5" w14:textId="764E211E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2E597309" w14:textId="389EF2EB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44D9E242" w14:textId="77777777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tbl>
      <w:tblPr>
        <w:tblW w:w="148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054"/>
        <w:gridCol w:w="1276"/>
        <w:gridCol w:w="1417"/>
        <w:gridCol w:w="1559"/>
        <w:gridCol w:w="1560"/>
        <w:gridCol w:w="1275"/>
        <w:gridCol w:w="1838"/>
      </w:tblGrid>
      <w:tr w:rsidR="000A04BE" w:rsidRPr="00E84ADC" w14:paraId="7703C081" w14:textId="503F915A" w:rsidTr="0018765A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E0ED" w14:textId="77777777" w:rsidR="000A04BE" w:rsidRPr="00E84ADC" w:rsidRDefault="000A04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Nr.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7BF4A" w14:textId="77777777" w:rsidR="000A04BE" w:rsidRPr="00E84ADC" w:rsidRDefault="000A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Indicatorii de performanță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22F88" w14:textId="77777777" w:rsidR="000A04BE" w:rsidRPr="00E84ADC" w:rsidRDefault="000A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65057" w14:textId="77777777" w:rsidR="000A04BE" w:rsidRPr="00E84ADC" w:rsidRDefault="000A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514F0" w14:textId="77777777" w:rsidR="000A04BE" w:rsidRPr="00E84ADC" w:rsidRDefault="000A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11447" w14:textId="77777777" w:rsidR="000A04BE" w:rsidRPr="00E84ADC" w:rsidRDefault="000A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933E" w14:textId="1D38DEA4" w:rsidR="000A04BE" w:rsidRPr="00E84ADC" w:rsidRDefault="000A04BE" w:rsidP="0033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1CB6" w14:textId="0D27ECDD" w:rsidR="000A04BE" w:rsidRPr="00E84ADC" w:rsidRDefault="000A04BE" w:rsidP="0002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2022</w:t>
            </w:r>
          </w:p>
        </w:tc>
      </w:tr>
      <w:tr w:rsidR="000A04BE" w:rsidRPr="00E84ADC" w14:paraId="6B7B2EC1" w14:textId="7F3244FC" w:rsidTr="0018765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1776" w14:textId="77777777" w:rsidR="000A04BE" w:rsidRPr="00E84ADC" w:rsidRDefault="000A04BE" w:rsidP="006823C1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79FAC9" w14:textId="77777777" w:rsidR="000A04BE" w:rsidRPr="00E84ADC" w:rsidRDefault="000A04BE" w:rsidP="00682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Rata de variaţie a stocului de cauze pendinte (CR)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96C099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95,9 %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D675D51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99,1 %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1739496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100,5 %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A18261E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95,1%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DC5B1C9" w14:textId="6B458570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96%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68D73B4" w14:textId="7342D76D" w:rsidR="000A04BE" w:rsidRPr="00E84ADC" w:rsidRDefault="000A04BE" w:rsidP="0002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93,6 %</w:t>
            </w:r>
          </w:p>
        </w:tc>
      </w:tr>
      <w:tr w:rsidR="000A04BE" w:rsidRPr="00E84ADC" w14:paraId="3C31A8CB" w14:textId="3B9C997B" w:rsidTr="0018765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47E" w14:textId="77777777" w:rsidR="000A04BE" w:rsidRPr="00E84ADC" w:rsidRDefault="000A04BE" w:rsidP="006823C1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880AEF" w14:textId="7EDA73E5" w:rsidR="000A04BE" w:rsidRPr="00E84ADC" w:rsidRDefault="000A04BE" w:rsidP="00682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Durata lichidării stocului de cauze pendinte  (DT)</w:t>
            </w: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  <w:t xml:space="preserve"> (în zile)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18483F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984F0F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vAlign w:val="center"/>
            <w:hideMark/>
          </w:tcPr>
          <w:p w14:paraId="721DD8CC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sz w:val="32"/>
                <w:szCs w:val="32"/>
                <w:lang w:val="ro-RO" w:eastAsia="ro-RO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E130EF4" w14:textId="77777777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sz w:val="32"/>
                <w:szCs w:val="32"/>
                <w:lang w:val="ro-RO" w:eastAsia="ro-RO"/>
              </w:rPr>
              <w:t>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  <w:vAlign w:val="center"/>
          </w:tcPr>
          <w:p w14:paraId="77F4C07C" w14:textId="651D0A3A" w:rsidR="000A04BE" w:rsidRPr="00E84ADC" w:rsidRDefault="000A04BE" w:rsidP="0068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65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9CC2E5" w:themeFill="accent5" w:themeFillTint="99"/>
            <w:vAlign w:val="center"/>
          </w:tcPr>
          <w:p w14:paraId="01B8DC67" w14:textId="31E3FE14" w:rsidR="000A04BE" w:rsidRPr="00E84ADC" w:rsidRDefault="00642F29" w:rsidP="0002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89</w:t>
            </w:r>
          </w:p>
        </w:tc>
      </w:tr>
    </w:tbl>
    <w:p w14:paraId="28D24E42" w14:textId="77777777" w:rsidR="00086B98" w:rsidRPr="00E84ADC" w:rsidRDefault="00086B98" w:rsidP="00086B98">
      <w:pPr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7508"/>
      </w:tblGrid>
      <w:tr w:rsidR="001B4705" w:rsidRPr="00E84ADC" w14:paraId="388290B8" w14:textId="77777777" w:rsidTr="00F47A1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C71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1. Rata de variaţie a stocului de cauze pendinte</w:t>
            </w:r>
          </w:p>
          <w:p w14:paraId="51B132F2" w14:textId="77777777" w:rsidR="00086B98" w:rsidRPr="00E84ADC" w:rsidRDefault="00086B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</w:pPr>
          </w:p>
          <w:p w14:paraId="15FC5B16" w14:textId="77777777" w:rsidR="00086B98" w:rsidRPr="00E84ADC" w:rsidRDefault="00086B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  <w:t>Formula de calcul:</w:t>
            </w:r>
          </w:p>
          <w:p w14:paraId="0D3F276C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% = (A/B) X 100</w:t>
            </w:r>
          </w:p>
          <w:p w14:paraId="4AD81833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A = Numărul dosarelor soluționate într-o perioadă de timp;</w:t>
            </w:r>
          </w:p>
          <w:p w14:paraId="5F253EAF" w14:textId="1D9D1EB1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B = Numărul dosarelor înregistrate de instanță.</w:t>
            </w:r>
          </w:p>
          <w:p w14:paraId="32E29777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C8B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2. Durata lichidării stocului de cauze pendinte</w:t>
            </w:r>
          </w:p>
          <w:p w14:paraId="7112E565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Formula de calcul: </w:t>
            </w:r>
          </w:p>
          <w:p w14:paraId="7CF754A4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DT = (B/A) x 365 sau 365/(A/B)</w:t>
            </w:r>
          </w:p>
          <w:p w14:paraId="377708A5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365 reprezintă numărul de zile din an</w:t>
            </w:r>
          </w:p>
          <w:p w14:paraId="6C937F86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A = Numărul dosarelor soluționate într-o perioadă de timp</w:t>
            </w:r>
          </w:p>
          <w:p w14:paraId="719032DC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B = Numărul dosarelor nesoluționate de instanță (restanța la sfârșitul perioadei)</w:t>
            </w:r>
          </w:p>
          <w:p w14:paraId="43FC1370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</w:tc>
      </w:tr>
    </w:tbl>
    <w:p w14:paraId="7C5EB7F6" w14:textId="0319777A" w:rsidR="00086B98" w:rsidRPr="00E84ADC" w:rsidRDefault="00086B98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092D49" w14:textId="32E52E25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D280B2C" w14:textId="244166A3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C0B31E9" w14:textId="5486A869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CF7AC38" w14:textId="5496C5A5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7293AF6" w14:textId="43C7B80C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EC858A" w14:textId="0FCBEF87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DB0D334" w14:textId="62E4C9DF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215EE7" w14:textId="6142BD86" w:rsidR="00E24DA5" w:rsidRPr="00E84ADC" w:rsidRDefault="00E24DA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6DB663" w14:textId="6B1B0952" w:rsidR="00E24DA5" w:rsidRPr="00E84ADC" w:rsidRDefault="00E24DA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7417B37" w14:textId="348BF8F5" w:rsidR="00550228" w:rsidRPr="00E84ADC" w:rsidRDefault="00550228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DA9CDA" w14:textId="77777777" w:rsidR="000B04B2" w:rsidRPr="00E84ADC" w:rsidRDefault="000B04B2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B0B6C8" w14:textId="20C0C709" w:rsidR="005A681B" w:rsidRPr="00E84ADC" w:rsidRDefault="005A681B" w:rsidP="00364F9C">
      <w:pPr>
        <w:pStyle w:val="a6"/>
      </w:pPr>
      <w:r w:rsidRPr="00E84ADC">
        <w:t>Rata ședințelor de judecată amânate</w:t>
      </w:r>
    </w:p>
    <w:p w14:paraId="75A7809E" w14:textId="77777777" w:rsidR="00032D4E" w:rsidRPr="00E84ADC" w:rsidRDefault="00032D4E" w:rsidP="00032D4E">
      <w:pPr>
        <w:pStyle w:val="a7"/>
        <w:rPr>
          <w:lang w:val="ro-RO"/>
        </w:rPr>
      </w:pPr>
    </w:p>
    <w:tbl>
      <w:tblPr>
        <w:tblStyle w:val="ac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3"/>
        <w:gridCol w:w="1496"/>
        <w:gridCol w:w="1656"/>
        <w:gridCol w:w="1390"/>
        <w:gridCol w:w="1408"/>
        <w:gridCol w:w="1390"/>
        <w:gridCol w:w="1390"/>
        <w:gridCol w:w="1390"/>
        <w:gridCol w:w="1390"/>
        <w:gridCol w:w="1390"/>
      </w:tblGrid>
      <w:tr w:rsidR="00E80926" w:rsidRPr="00E84ADC" w14:paraId="7CF59124" w14:textId="77777777" w:rsidTr="004A2086">
        <w:trPr>
          <w:trHeight w:val="1487"/>
        </w:trPr>
        <w:tc>
          <w:tcPr>
            <w:tcW w:w="1523" w:type="dxa"/>
          </w:tcPr>
          <w:p w14:paraId="03737DCD" w14:textId="239C687C" w:rsidR="00E80926" w:rsidRPr="00E84ADC" w:rsidRDefault="00E80926" w:rsidP="00E8092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Anul</w:t>
            </w:r>
          </w:p>
        </w:tc>
        <w:tc>
          <w:tcPr>
            <w:tcW w:w="1496" w:type="dxa"/>
            <w:shd w:val="clear" w:color="auto" w:fill="C5E0B3" w:themeFill="accent6" w:themeFillTint="66"/>
            <w:vAlign w:val="center"/>
            <w:hideMark/>
          </w:tcPr>
          <w:p w14:paraId="00ADDB8C" w14:textId="77777777" w:rsidR="00E80926" w:rsidRPr="00E84ADC" w:rsidRDefault="00E80926" w:rsidP="00E80926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Indicator %</w:t>
            </w:r>
          </w:p>
        </w:tc>
        <w:tc>
          <w:tcPr>
            <w:tcW w:w="1656" w:type="dxa"/>
            <w:vAlign w:val="center"/>
            <w:hideMark/>
          </w:tcPr>
          <w:p w14:paraId="3274D9B1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Ședințe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de judecată</w:t>
            </w:r>
          </w:p>
          <w:p w14:paraId="47D032AB" w14:textId="47ED963F" w:rsidR="00E80926" w:rsidRPr="00E84ADC" w:rsidRDefault="0040163D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(toa</w:t>
            </w:r>
            <w:r w:rsidR="00E80926"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te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)</w:t>
            </w:r>
          </w:p>
        </w:tc>
        <w:tc>
          <w:tcPr>
            <w:tcW w:w="1390" w:type="dxa"/>
            <w:vAlign w:val="center"/>
            <w:hideMark/>
          </w:tcPr>
          <w:p w14:paraId="19349C05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Ședințe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de judecată amânate</w:t>
            </w:r>
          </w:p>
        </w:tc>
        <w:tc>
          <w:tcPr>
            <w:tcW w:w="1408" w:type="dxa"/>
            <w:vAlign w:val="center"/>
            <w:hideMark/>
          </w:tcPr>
          <w:p w14:paraId="125233C0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1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ședință amânată</w:t>
            </w:r>
          </w:p>
        </w:tc>
        <w:tc>
          <w:tcPr>
            <w:tcW w:w="1390" w:type="dxa"/>
            <w:vAlign w:val="center"/>
            <w:hideMark/>
          </w:tcPr>
          <w:p w14:paraId="76980E9C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2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427569E9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3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2D6CF792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4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48627368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5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03F22EAF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6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sau mai multe ședințe amânate</w:t>
            </w:r>
          </w:p>
        </w:tc>
      </w:tr>
      <w:tr w:rsidR="001B4705" w:rsidRPr="00E84ADC" w14:paraId="2164634B" w14:textId="77777777" w:rsidTr="004A2086">
        <w:trPr>
          <w:trHeight w:val="484"/>
        </w:trPr>
        <w:tc>
          <w:tcPr>
            <w:tcW w:w="1523" w:type="dxa"/>
            <w:vAlign w:val="center"/>
            <w:hideMark/>
          </w:tcPr>
          <w:p w14:paraId="73CDFA4D" w14:textId="24CE87CC" w:rsidR="00E80926" w:rsidRPr="00E84ADC" w:rsidRDefault="00E80926" w:rsidP="00E80926">
            <w:pPr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2017</w:t>
            </w:r>
          </w:p>
        </w:tc>
        <w:tc>
          <w:tcPr>
            <w:tcW w:w="1496" w:type="dxa"/>
            <w:shd w:val="clear" w:color="auto" w:fill="9CC2E5" w:themeFill="accent5" w:themeFillTint="99"/>
            <w:vAlign w:val="center"/>
          </w:tcPr>
          <w:p w14:paraId="40084F4A" w14:textId="303A79D0" w:rsidR="00E80926" w:rsidRPr="00E84ADC" w:rsidRDefault="00032D4E" w:rsidP="00E809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44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,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32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00"/>
            <w:vAlign w:val="center"/>
          </w:tcPr>
          <w:p w14:paraId="6A71B77E" w14:textId="5AE395DA" w:rsidR="00E80926" w:rsidRPr="00E84ADC" w:rsidRDefault="00032D4E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2588</w:t>
            </w:r>
          </w:p>
        </w:tc>
        <w:tc>
          <w:tcPr>
            <w:tcW w:w="1390" w:type="dxa"/>
            <w:shd w:val="clear" w:color="auto" w:fill="F7CAAC" w:themeFill="accent2" w:themeFillTint="66"/>
            <w:vAlign w:val="center"/>
          </w:tcPr>
          <w:p w14:paraId="2799472C" w14:textId="0E29E8E7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1147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3E4C3A20" w14:textId="12151D56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214</w:t>
            </w:r>
          </w:p>
        </w:tc>
        <w:tc>
          <w:tcPr>
            <w:tcW w:w="1390" w:type="dxa"/>
            <w:shd w:val="clear" w:color="auto" w:fill="E2EFD9" w:themeFill="accent6" w:themeFillTint="33"/>
            <w:vAlign w:val="center"/>
          </w:tcPr>
          <w:p w14:paraId="0D5EC0FC" w14:textId="2695AA87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112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071E317B" w14:textId="7C890C4A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48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2C5CFC6C" w14:textId="71A50E3C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23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064C92AE" w14:textId="3AAC9834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19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42A3CFB6" w14:textId="65D5F976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47</w:t>
            </w:r>
          </w:p>
        </w:tc>
      </w:tr>
      <w:tr w:rsidR="001B4705" w:rsidRPr="00E84ADC" w14:paraId="6ECFA140" w14:textId="77777777" w:rsidTr="004A2086">
        <w:trPr>
          <w:trHeight w:val="586"/>
        </w:trPr>
        <w:tc>
          <w:tcPr>
            <w:tcW w:w="1523" w:type="dxa"/>
            <w:vAlign w:val="center"/>
            <w:hideMark/>
          </w:tcPr>
          <w:p w14:paraId="2341F67C" w14:textId="00BE0738" w:rsidR="00E80926" w:rsidRPr="00E84ADC" w:rsidRDefault="00E80926" w:rsidP="00E80926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2018</w:t>
            </w:r>
          </w:p>
        </w:tc>
        <w:tc>
          <w:tcPr>
            <w:tcW w:w="1496" w:type="dxa"/>
            <w:shd w:val="clear" w:color="auto" w:fill="E7E6E6" w:themeFill="background2"/>
            <w:vAlign w:val="center"/>
          </w:tcPr>
          <w:p w14:paraId="3499BC67" w14:textId="4C834FE8" w:rsidR="00E80926" w:rsidRPr="00E84ADC" w:rsidRDefault="00E80926" w:rsidP="00E809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36,</w:t>
            </w:r>
            <w:r w:rsidR="00032D4E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95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00"/>
            <w:vAlign w:val="center"/>
          </w:tcPr>
          <w:p w14:paraId="32C3A76D" w14:textId="2D6476F0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2652</w:t>
            </w:r>
          </w:p>
        </w:tc>
        <w:tc>
          <w:tcPr>
            <w:tcW w:w="1390" w:type="dxa"/>
            <w:shd w:val="clear" w:color="auto" w:fill="F7CAAC" w:themeFill="accent2" w:themeFillTint="66"/>
            <w:vAlign w:val="center"/>
          </w:tcPr>
          <w:p w14:paraId="16FAD3D9" w14:textId="5E39AA33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980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2F9DD7BE" w14:textId="71F5F931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288</w:t>
            </w:r>
          </w:p>
        </w:tc>
        <w:tc>
          <w:tcPr>
            <w:tcW w:w="1390" w:type="dxa"/>
            <w:shd w:val="clear" w:color="auto" w:fill="E2EFD9" w:themeFill="accent6" w:themeFillTint="33"/>
            <w:vAlign w:val="center"/>
          </w:tcPr>
          <w:p w14:paraId="556A586F" w14:textId="1C9A710E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105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6BCF6DF1" w14:textId="6B353E16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50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0FB9ABAB" w14:textId="1663365E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26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60FB6F00" w14:textId="150FE3C7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28DE2F77" w14:textId="6D33C32A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24</w:t>
            </w:r>
          </w:p>
        </w:tc>
      </w:tr>
      <w:tr w:rsidR="001B4705" w:rsidRPr="00E84ADC" w14:paraId="64624FF9" w14:textId="77777777" w:rsidTr="004A2086">
        <w:trPr>
          <w:trHeight w:val="586"/>
        </w:trPr>
        <w:tc>
          <w:tcPr>
            <w:tcW w:w="1523" w:type="dxa"/>
            <w:vAlign w:val="center"/>
            <w:hideMark/>
          </w:tcPr>
          <w:p w14:paraId="2E69F6DB" w14:textId="2A3CBF61" w:rsidR="00E80926" w:rsidRPr="00E84ADC" w:rsidRDefault="00E80926" w:rsidP="00E80926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2019</w:t>
            </w:r>
          </w:p>
        </w:tc>
        <w:tc>
          <w:tcPr>
            <w:tcW w:w="1496" w:type="dxa"/>
            <w:shd w:val="clear" w:color="auto" w:fill="E7E6E6" w:themeFill="background2"/>
            <w:vAlign w:val="center"/>
          </w:tcPr>
          <w:p w14:paraId="32300AE6" w14:textId="31E989A5" w:rsidR="00E80926" w:rsidRPr="00E84ADC" w:rsidRDefault="00032D4E" w:rsidP="00E809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,</w:t>
            </w:r>
            <w:r w:rsidR="00CA0ABF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68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00"/>
            <w:vAlign w:val="center"/>
          </w:tcPr>
          <w:p w14:paraId="217D5EBA" w14:textId="2633BDF2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3150</w:t>
            </w:r>
          </w:p>
        </w:tc>
        <w:tc>
          <w:tcPr>
            <w:tcW w:w="1390" w:type="dxa"/>
            <w:shd w:val="clear" w:color="auto" w:fill="F7CAAC" w:themeFill="accent2" w:themeFillTint="66"/>
            <w:vAlign w:val="center"/>
          </w:tcPr>
          <w:p w14:paraId="61A7B838" w14:textId="1F3BD5A8" w:rsidR="00E80926" w:rsidRPr="00E84ADC" w:rsidRDefault="00CC37A0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3</w:t>
            </w:r>
            <w:r w:rsidR="003B2607"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05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7A533473" w14:textId="3851BC60" w:rsidR="00E80926" w:rsidRPr="00E84ADC" w:rsidRDefault="00CC37A0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</w:t>
            </w:r>
            <w:r w:rsidR="003B2607"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74</w:t>
            </w:r>
          </w:p>
        </w:tc>
        <w:tc>
          <w:tcPr>
            <w:tcW w:w="1390" w:type="dxa"/>
            <w:shd w:val="clear" w:color="auto" w:fill="E2EFD9" w:themeFill="accent6" w:themeFillTint="33"/>
            <w:vAlign w:val="center"/>
          </w:tcPr>
          <w:p w14:paraId="6510267F" w14:textId="32B48F75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45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37A1C6C1" w14:textId="49068359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5452B42D" w14:textId="19E9BEC8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03D708EE" w14:textId="3748C324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6B7E391F" w14:textId="7D7316AA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</w:t>
            </w:r>
          </w:p>
        </w:tc>
      </w:tr>
      <w:tr w:rsidR="001B4705" w:rsidRPr="00E84ADC" w14:paraId="05D2A1D5" w14:textId="77777777" w:rsidTr="004A2086">
        <w:trPr>
          <w:trHeight w:val="586"/>
        </w:trPr>
        <w:tc>
          <w:tcPr>
            <w:tcW w:w="1523" w:type="dxa"/>
            <w:vAlign w:val="center"/>
          </w:tcPr>
          <w:p w14:paraId="763EF5C6" w14:textId="0946A736" w:rsidR="006E520D" w:rsidRPr="00E84ADC" w:rsidRDefault="006E520D" w:rsidP="006E52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2020</w:t>
            </w:r>
          </w:p>
        </w:tc>
        <w:tc>
          <w:tcPr>
            <w:tcW w:w="1496" w:type="dxa"/>
            <w:shd w:val="clear" w:color="auto" w:fill="F4B083" w:themeFill="accent2" w:themeFillTint="99"/>
            <w:vAlign w:val="center"/>
          </w:tcPr>
          <w:p w14:paraId="6867A2A4" w14:textId="3C7454CF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6,00</w:t>
            </w:r>
            <w:r w:rsidR="00581325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00"/>
            <w:vAlign w:val="center"/>
          </w:tcPr>
          <w:p w14:paraId="6AD75534" w14:textId="5CD1C869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3582</w:t>
            </w:r>
          </w:p>
        </w:tc>
        <w:tc>
          <w:tcPr>
            <w:tcW w:w="1390" w:type="dxa"/>
            <w:shd w:val="clear" w:color="auto" w:fill="F7CAAC" w:themeFill="accent2" w:themeFillTint="66"/>
            <w:vAlign w:val="center"/>
          </w:tcPr>
          <w:p w14:paraId="61EC8DBF" w14:textId="7702427A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215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4B06BAEB" w14:textId="2CBD3676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144</w:t>
            </w:r>
          </w:p>
        </w:tc>
        <w:tc>
          <w:tcPr>
            <w:tcW w:w="1390" w:type="dxa"/>
            <w:shd w:val="clear" w:color="auto" w:fill="E2EFD9" w:themeFill="accent6" w:themeFillTint="33"/>
            <w:vAlign w:val="center"/>
          </w:tcPr>
          <w:p w14:paraId="5C3D9DBD" w14:textId="71DF1552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20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42D949BB" w14:textId="1641DD6F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24EE5E41" w14:textId="220DEBD9" w:rsidR="006E520D" w:rsidRPr="00E84ADC" w:rsidRDefault="00581325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</w:t>
            </w:r>
            <w:r w:rsidR="006E520D"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 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67A2BCDA" w14:textId="4BD275D6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6933DDD8" w14:textId="54176F19" w:rsidR="006E520D" w:rsidRPr="00E84ADC" w:rsidRDefault="00581325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</w:t>
            </w:r>
          </w:p>
        </w:tc>
      </w:tr>
      <w:tr w:rsidR="00681416" w:rsidRPr="00E84ADC" w14:paraId="603D4E3B" w14:textId="77777777" w:rsidTr="004A2086">
        <w:trPr>
          <w:trHeight w:val="586"/>
        </w:trPr>
        <w:tc>
          <w:tcPr>
            <w:tcW w:w="1523" w:type="dxa"/>
            <w:vAlign w:val="center"/>
          </w:tcPr>
          <w:p w14:paraId="69E69729" w14:textId="06F9353E" w:rsidR="00681416" w:rsidRPr="00E84ADC" w:rsidRDefault="00681416" w:rsidP="006814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2021</w:t>
            </w:r>
          </w:p>
        </w:tc>
        <w:tc>
          <w:tcPr>
            <w:tcW w:w="1496" w:type="dxa"/>
            <w:shd w:val="clear" w:color="auto" w:fill="E7E6E6" w:themeFill="background2"/>
            <w:vAlign w:val="center"/>
          </w:tcPr>
          <w:p w14:paraId="4E41F827" w14:textId="5FDB4E3C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13,01</w:t>
            </w:r>
            <w:r w:rsidR="00C43E6A"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%</w:t>
            </w:r>
          </w:p>
        </w:tc>
        <w:tc>
          <w:tcPr>
            <w:tcW w:w="1656" w:type="dxa"/>
            <w:shd w:val="clear" w:color="auto" w:fill="FFFF00"/>
            <w:vAlign w:val="center"/>
          </w:tcPr>
          <w:p w14:paraId="53D9DE76" w14:textId="2BFAF158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4373</w:t>
            </w:r>
          </w:p>
        </w:tc>
        <w:tc>
          <w:tcPr>
            <w:tcW w:w="1390" w:type="dxa"/>
            <w:shd w:val="clear" w:color="auto" w:fill="F7CAAC" w:themeFill="accent2" w:themeFillTint="66"/>
            <w:vAlign w:val="center"/>
          </w:tcPr>
          <w:p w14:paraId="68383D17" w14:textId="550984D3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569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508C8E98" w14:textId="693973E8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298</w:t>
            </w:r>
          </w:p>
        </w:tc>
        <w:tc>
          <w:tcPr>
            <w:tcW w:w="1390" w:type="dxa"/>
            <w:shd w:val="clear" w:color="auto" w:fill="E2EFD9" w:themeFill="accent6" w:themeFillTint="33"/>
            <w:vAlign w:val="center"/>
          </w:tcPr>
          <w:p w14:paraId="3B4744FF" w14:textId="5C2082A4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77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382EB411" w14:textId="6640B4FA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19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72BECA50" w14:textId="5B6BCE22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1C644C9C" w14:textId="51CFDD18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4EDBC5BA" w14:textId="2E61CD64" w:rsidR="00681416" w:rsidRPr="00E84ADC" w:rsidRDefault="00681416" w:rsidP="006814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</w:p>
        </w:tc>
      </w:tr>
      <w:tr w:rsidR="00624903" w:rsidRPr="00E84ADC" w14:paraId="24212FC6" w14:textId="77777777" w:rsidTr="004A2086">
        <w:trPr>
          <w:trHeight w:val="586"/>
        </w:trPr>
        <w:tc>
          <w:tcPr>
            <w:tcW w:w="1523" w:type="dxa"/>
            <w:vAlign w:val="center"/>
          </w:tcPr>
          <w:p w14:paraId="55791767" w14:textId="27867611" w:rsidR="00624903" w:rsidRPr="00E84ADC" w:rsidRDefault="00624903" w:rsidP="0062490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2022</w:t>
            </w:r>
          </w:p>
        </w:tc>
        <w:tc>
          <w:tcPr>
            <w:tcW w:w="1496" w:type="dxa"/>
            <w:shd w:val="clear" w:color="auto" w:fill="E7E6E6" w:themeFill="background2"/>
            <w:vAlign w:val="center"/>
          </w:tcPr>
          <w:p w14:paraId="2183AC47" w14:textId="64F9459A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10,52</w:t>
            </w:r>
            <w:r w:rsidR="00C43E6A"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%</w:t>
            </w:r>
          </w:p>
        </w:tc>
        <w:tc>
          <w:tcPr>
            <w:tcW w:w="1656" w:type="dxa"/>
            <w:shd w:val="clear" w:color="auto" w:fill="FFFF00"/>
            <w:vAlign w:val="center"/>
          </w:tcPr>
          <w:p w14:paraId="5374DBCF" w14:textId="3C8800A9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4943</w:t>
            </w:r>
          </w:p>
        </w:tc>
        <w:tc>
          <w:tcPr>
            <w:tcW w:w="1390" w:type="dxa"/>
            <w:shd w:val="clear" w:color="auto" w:fill="F7CAAC" w:themeFill="accent2" w:themeFillTint="66"/>
            <w:vAlign w:val="center"/>
          </w:tcPr>
          <w:p w14:paraId="452180FF" w14:textId="488E2CDC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520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315E8696" w14:textId="115BC91E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263</w:t>
            </w:r>
          </w:p>
        </w:tc>
        <w:tc>
          <w:tcPr>
            <w:tcW w:w="1390" w:type="dxa"/>
            <w:shd w:val="clear" w:color="auto" w:fill="E7E6E6" w:themeFill="background2"/>
            <w:vAlign w:val="center"/>
          </w:tcPr>
          <w:p w14:paraId="125DFB11" w14:textId="093F4B89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69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3A757519" w14:textId="5C416CC2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15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471A0338" w14:textId="54F62BD6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7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4BFA4B97" w14:textId="02FC9706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</w:t>
            </w:r>
          </w:p>
        </w:tc>
        <w:tc>
          <w:tcPr>
            <w:tcW w:w="1390" w:type="dxa"/>
            <w:shd w:val="clear" w:color="auto" w:fill="9CC2E5" w:themeFill="accent5" w:themeFillTint="99"/>
            <w:vAlign w:val="center"/>
          </w:tcPr>
          <w:p w14:paraId="5C32CE4C" w14:textId="2F3A7256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</w:t>
            </w:r>
          </w:p>
        </w:tc>
      </w:tr>
    </w:tbl>
    <w:p w14:paraId="58FCC014" w14:textId="5A72FCBB" w:rsidR="005A681B" w:rsidRPr="00E84ADC" w:rsidRDefault="005A681B" w:rsidP="005A681B">
      <w:pPr>
        <w:pStyle w:val="a7"/>
        <w:rPr>
          <w:rFonts w:eastAsiaTheme="minorEastAsia"/>
          <w:lang w:val="ro-RO"/>
        </w:rPr>
      </w:pPr>
    </w:p>
    <w:p w14:paraId="3D819BCF" w14:textId="6514F51A" w:rsidR="00EF5584" w:rsidRPr="00E84ADC" w:rsidRDefault="00EF5584" w:rsidP="00EF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</w:p>
    <w:p w14:paraId="30432E44" w14:textId="77777777" w:rsidR="00EF5584" w:rsidRPr="00E84ADC" w:rsidRDefault="00EF5584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RO" w:eastAsia="ru-MD"/>
        </w:rPr>
        <w:t>Formula de calcul: Rata ședințelor de judecată amânate</w:t>
      </w:r>
      <w:r w:rsidRPr="00E84ADC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u-MD"/>
        </w:rPr>
        <w:t xml:space="preserve"> % = (A/B) x 100</w:t>
      </w:r>
    </w:p>
    <w:p w14:paraId="29DA5266" w14:textId="1F972FD0" w:rsidR="00EF5584" w:rsidRPr="00E84ADC" w:rsidRDefault="00EF5584" w:rsidP="0012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u-MD"/>
        </w:rPr>
        <w:t>A</w:t>
      </w:r>
      <w:r w:rsidRPr="00E84ADC">
        <w:rPr>
          <w:rFonts w:ascii="Times New Roman" w:eastAsia="Times New Roman" w:hAnsi="Times New Roman" w:cs="Times New Roman"/>
          <w:sz w:val="32"/>
          <w:szCs w:val="32"/>
          <w:lang w:val="ro-RO" w:eastAsia="ru-MD"/>
        </w:rPr>
        <w:t xml:space="preserve"> = Numărul ședințelor de judecată amânate în perioada de referință;</w:t>
      </w:r>
    </w:p>
    <w:p w14:paraId="3797E268" w14:textId="1B4FD49E" w:rsidR="00EF5584" w:rsidRPr="00E84ADC" w:rsidRDefault="00EF5584" w:rsidP="00120855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u-MD"/>
        </w:rPr>
        <w:t>B</w:t>
      </w:r>
      <w:r w:rsidRPr="00E84ADC">
        <w:rPr>
          <w:rFonts w:ascii="Times New Roman" w:eastAsia="Times New Roman" w:hAnsi="Times New Roman" w:cs="Times New Roman"/>
          <w:sz w:val="32"/>
          <w:szCs w:val="32"/>
          <w:lang w:val="ro-RO" w:eastAsia="ru-MD"/>
        </w:rPr>
        <w:t xml:space="preserve"> = Numărul total al ședințelor de judecată planificate în perioada de referință.</w:t>
      </w:r>
    </w:p>
    <w:p w14:paraId="0F5BB4FC" w14:textId="75400518" w:rsidR="00EF5584" w:rsidRPr="00E84ADC" w:rsidRDefault="00EF5584" w:rsidP="00120855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32"/>
          <w:szCs w:val="32"/>
          <w:lang w:val="ro-RO" w:eastAsia="ru-MD"/>
        </w:rPr>
        <w:t> 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Definiție: 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Indicatorul constituie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 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rata ședințelor de judecată amânate din numărul total de ședințe de judecată planificate într-o anumită perioadă de timp.</w:t>
      </w:r>
    </w:p>
    <w:p w14:paraId="0AD71100" w14:textId="3410631B" w:rsidR="00EF5584" w:rsidRPr="00E84ADC" w:rsidRDefault="00EF5584" w:rsidP="00120855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 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Scop: 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Indicatorul răspunde la următoarele întrebări: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 </w:t>
      </w:r>
      <w:r w:rsidRPr="00E84ADC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MD"/>
        </w:rPr>
        <w:t>Cât de des are loc amânarea ședințelor de judecată? Sunt justificate încheierile privind amânarea ședințelor de judecată?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 xml:space="preserve"> Acest indicator, utilizat împreună cu ceilalți indicatori de măsurare a performanței, reprezintă un instrument esențial de management, utilizat pentru identificarea situațiilor de amânare frecventă a examinării dosarelor pentru a fi, ulterior, aplicate măsurile corespunzătoare de prevenire și combatere a unor astfel de fenomene.  </w:t>
      </w:r>
    </w:p>
    <w:p w14:paraId="0ABB3A8F" w14:textId="3C5AF4E6" w:rsidR="005A681B" w:rsidRPr="00E84ADC" w:rsidRDefault="005A681B" w:rsidP="00364F9C">
      <w:pPr>
        <w:pStyle w:val="a6"/>
      </w:pPr>
      <w:r w:rsidRPr="00E84ADC">
        <w:rPr>
          <w:lang w:eastAsia="ru-RU"/>
        </w:rPr>
        <w:t>Rata dosarelor încheiate printr-o singură ședință de judecată</w:t>
      </w:r>
      <w:r w:rsidRPr="00E84ADC">
        <w:t xml:space="preserve"> </w:t>
      </w:r>
    </w:p>
    <w:p w14:paraId="776369ED" w14:textId="77777777" w:rsidR="005A681B" w:rsidRPr="00E84ADC" w:rsidRDefault="005A681B" w:rsidP="005A681B">
      <w:pPr>
        <w:pStyle w:val="a7"/>
        <w:rPr>
          <w:lang w:val="ro-RO"/>
        </w:rPr>
      </w:pP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985"/>
        <w:gridCol w:w="1682"/>
        <w:gridCol w:w="3846"/>
      </w:tblGrid>
      <w:tr w:rsidR="00B40D41" w:rsidRPr="00E84ADC" w14:paraId="574EE61D" w14:textId="77777777" w:rsidTr="00E84BE1">
        <w:trPr>
          <w:trHeight w:val="1487"/>
          <w:jc w:val="center"/>
        </w:trPr>
        <w:tc>
          <w:tcPr>
            <w:tcW w:w="2127" w:type="dxa"/>
          </w:tcPr>
          <w:p w14:paraId="3BE3A1BC" w14:textId="52448CEF" w:rsidR="00B40D41" w:rsidRPr="00E84ADC" w:rsidRDefault="00B40D41" w:rsidP="00FD5C13">
            <w:pPr>
              <w:jc w:val="center"/>
              <w:rPr>
                <w:rFonts w:eastAsia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Anul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  <w:hideMark/>
          </w:tcPr>
          <w:p w14:paraId="26C06DDC" w14:textId="77777777" w:rsidR="00B40D41" w:rsidRPr="00E84ADC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Indicator %</w:t>
            </w:r>
          </w:p>
        </w:tc>
        <w:tc>
          <w:tcPr>
            <w:tcW w:w="1682" w:type="dxa"/>
            <w:vAlign w:val="center"/>
            <w:hideMark/>
          </w:tcPr>
          <w:p w14:paraId="0F9329B4" w14:textId="77777777" w:rsidR="00B40D41" w:rsidRPr="00E84ADC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Încheiate</w:t>
            </w:r>
          </w:p>
        </w:tc>
        <w:tc>
          <w:tcPr>
            <w:tcW w:w="3846" w:type="dxa"/>
            <w:vAlign w:val="center"/>
            <w:hideMark/>
          </w:tcPr>
          <w:p w14:paraId="59561ACC" w14:textId="77777777" w:rsidR="00B40D41" w:rsidRPr="00E84ADC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Numărul de dosare</w:t>
            </w: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br/>
              <w:t>încheiate prin</w:t>
            </w: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br/>
              <w:t>0 sau 1 ședință</w:t>
            </w:r>
          </w:p>
        </w:tc>
      </w:tr>
      <w:tr w:rsidR="001B4705" w:rsidRPr="00E84ADC" w14:paraId="463B83F9" w14:textId="77777777" w:rsidTr="005C30C3">
        <w:trPr>
          <w:trHeight w:val="484"/>
          <w:jc w:val="center"/>
        </w:trPr>
        <w:tc>
          <w:tcPr>
            <w:tcW w:w="2127" w:type="dxa"/>
            <w:vAlign w:val="center"/>
            <w:hideMark/>
          </w:tcPr>
          <w:p w14:paraId="08DED6DB" w14:textId="5D632C3D" w:rsidR="0026086A" w:rsidRPr="00E84ADC" w:rsidRDefault="0026086A" w:rsidP="0026086A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2017</w:t>
            </w:r>
          </w:p>
        </w:tc>
        <w:tc>
          <w:tcPr>
            <w:tcW w:w="1985" w:type="dxa"/>
            <w:shd w:val="clear" w:color="auto" w:fill="4472C4" w:themeFill="accent1"/>
            <w:vAlign w:val="center"/>
          </w:tcPr>
          <w:p w14:paraId="67E54DBF" w14:textId="3BC91A39" w:rsidR="0026086A" w:rsidRPr="00E84ADC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6</w:t>
            </w:r>
            <w:r w:rsidR="00A83998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0</w:t>
            </w: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,</w:t>
            </w:r>
            <w:r w:rsidR="00A83998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7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7E125FC5" w14:textId="5E0799CB" w:rsidR="0026086A" w:rsidRPr="00E84ADC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1183</w:t>
            </w:r>
          </w:p>
        </w:tc>
        <w:tc>
          <w:tcPr>
            <w:tcW w:w="3846" w:type="dxa"/>
            <w:shd w:val="clear" w:color="auto" w:fill="C9C9C9" w:themeFill="accent3" w:themeFillTint="99"/>
            <w:vAlign w:val="center"/>
          </w:tcPr>
          <w:p w14:paraId="3415DFE8" w14:textId="36EE851A" w:rsidR="0026086A" w:rsidRPr="00E84ADC" w:rsidRDefault="0026086A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718</w:t>
            </w:r>
          </w:p>
        </w:tc>
      </w:tr>
      <w:tr w:rsidR="001B4705" w:rsidRPr="00E84ADC" w14:paraId="17617B75" w14:textId="77777777" w:rsidTr="001E1761">
        <w:trPr>
          <w:trHeight w:val="586"/>
          <w:jc w:val="center"/>
        </w:trPr>
        <w:tc>
          <w:tcPr>
            <w:tcW w:w="2127" w:type="dxa"/>
            <w:vAlign w:val="center"/>
            <w:hideMark/>
          </w:tcPr>
          <w:p w14:paraId="7442C63D" w14:textId="1445A19B" w:rsidR="0026086A" w:rsidRPr="00E84ADC" w:rsidRDefault="0026086A" w:rsidP="0026086A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2018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0BC09BF" w14:textId="25586FE9" w:rsidR="0026086A" w:rsidRPr="00E84ADC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5</w:t>
            </w:r>
            <w:r w:rsidR="00A83998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3</w:t>
            </w: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,</w:t>
            </w:r>
            <w:r w:rsidR="00A83998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0B91381A" w14:textId="7CAC622B" w:rsidR="0026086A" w:rsidRPr="00E84ADC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1332</w:t>
            </w:r>
          </w:p>
        </w:tc>
        <w:tc>
          <w:tcPr>
            <w:tcW w:w="3846" w:type="dxa"/>
            <w:shd w:val="clear" w:color="auto" w:fill="C9C9C9" w:themeFill="accent3" w:themeFillTint="99"/>
            <w:vAlign w:val="center"/>
          </w:tcPr>
          <w:p w14:paraId="7B3E12BB" w14:textId="78258240" w:rsidR="0026086A" w:rsidRPr="00E84ADC" w:rsidRDefault="00A83998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706</w:t>
            </w:r>
          </w:p>
        </w:tc>
      </w:tr>
      <w:tr w:rsidR="0026086A" w:rsidRPr="00E84ADC" w14:paraId="541C9EE6" w14:textId="77777777" w:rsidTr="001E1761">
        <w:trPr>
          <w:trHeight w:val="586"/>
          <w:jc w:val="center"/>
        </w:trPr>
        <w:tc>
          <w:tcPr>
            <w:tcW w:w="2127" w:type="dxa"/>
            <w:vAlign w:val="center"/>
            <w:hideMark/>
          </w:tcPr>
          <w:p w14:paraId="11CA0429" w14:textId="3F7B20D8" w:rsidR="0026086A" w:rsidRPr="00E84ADC" w:rsidRDefault="0026086A" w:rsidP="0026086A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2019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E0E4568" w14:textId="567B5049" w:rsidR="0026086A" w:rsidRPr="00E84ADC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5</w:t>
            </w:r>
            <w:r w:rsidR="00A83998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1</w:t>
            </w: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,</w:t>
            </w:r>
            <w:r w:rsidR="00A83998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DCE6F1"/>
          </w:tcPr>
          <w:p w14:paraId="7BB2CE98" w14:textId="1B89FA65" w:rsidR="0026086A" w:rsidRPr="00E84ADC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1517</w:t>
            </w:r>
          </w:p>
        </w:tc>
        <w:tc>
          <w:tcPr>
            <w:tcW w:w="3846" w:type="dxa"/>
            <w:shd w:val="clear" w:color="auto" w:fill="C9C9C9" w:themeFill="accent3" w:themeFillTint="99"/>
            <w:vAlign w:val="center"/>
          </w:tcPr>
          <w:p w14:paraId="1B1A1ECF" w14:textId="287BA150" w:rsidR="0026086A" w:rsidRPr="00E84ADC" w:rsidRDefault="0026086A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780</w:t>
            </w:r>
          </w:p>
        </w:tc>
      </w:tr>
      <w:tr w:rsidR="001B4705" w:rsidRPr="00E84ADC" w14:paraId="69ECA6C1" w14:textId="77777777" w:rsidTr="001E1761">
        <w:trPr>
          <w:trHeight w:val="586"/>
          <w:jc w:val="center"/>
        </w:trPr>
        <w:tc>
          <w:tcPr>
            <w:tcW w:w="2127" w:type="dxa"/>
            <w:vAlign w:val="center"/>
          </w:tcPr>
          <w:p w14:paraId="66734A8C" w14:textId="23F58854" w:rsidR="00E84BE1" w:rsidRPr="00E84ADC" w:rsidRDefault="00E84BE1" w:rsidP="0026086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2020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FFFC322" w14:textId="5506E499" w:rsidR="00E84BE1" w:rsidRPr="00E84ADC" w:rsidRDefault="00B24A3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48,5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DCE6F1"/>
          </w:tcPr>
          <w:p w14:paraId="41EDED3B" w14:textId="0C365129" w:rsidR="00E84BE1" w:rsidRPr="00E84ADC" w:rsidRDefault="00E84BE1" w:rsidP="0026086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1378</w:t>
            </w:r>
          </w:p>
        </w:tc>
        <w:tc>
          <w:tcPr>
            <w:tcW w:w="3846" w:type="dxa"/>
            <w:shd w:val="clear" w:color="auto" w:fill="C9C9C9" w:themeFill="accent3" w:themeFillTint="99"/>
            <w:vAlign w:val="center"/>
          </w:tcPr>
          <w:p w14:paraId="5FB2D044" w14:textId="6184DA46" w:rsidR="00E84BE1" w:rsidRPr="00E84ADC" w:rsidRDefault="00E84BE1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669</w:t>
            </w:r>
          </w:p>
        </w:tc>
      </w:tr>
      <w:tr w:rsidR="006D4311" w:rsidRPr="00E84ADC" w14:paraId="350FA134" w14:textId="77777777" w:rsidTr="001E1761">
        <w:trPr>
          <w:trHeight w:val="586"/>
          <w:jc w:val="center"/>
        </w:trPr>
        <w:tc>
          <w:tcPr>
            <w:tcW w:w="2127" w:type="dxa"/>
            <w:vAlign w:val="center"/>
          </w:tcPr>
          <w:p w14:paraId="492B9F96" w14:textId="6C7B67EB" w:rsidR="006D4311" w:rsidRPr="00E84ADC" w:rsidRDefault="006D4311" w:rsidP="001C403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2021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996208D" w14:textId="325067DA" w:rsidR="006D4311" w:rsidRPr="00E84ADC" w:rsidRDefault="00B5251F" w:rsidP="001C403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51,7%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7F6B79A4" w14:textId="5B37D662" w:rsidR="006D4311" w:rsidRPr="00E84ADC" w:rsidRDefault="00CE3C8D" w:rsidP="001C403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1896</w:t>
            </w:r>
          </w:p>
        </w:tc>
        <w:tc>
          <w:tcPr>
            <w:tcW w:w="3846" w:type="dxa"/>
            <w:shd w:val="clear" w:color="auto" w:fill="C9C9C9" w:themeFill="accent3" w:themeFillTint="99"/>
            <w:vAlign w:val="center"/>
          </w:tcPr>
          <w:p w14:paraId="5926802A" w14:textId="7FD3654B" w:rsidR="006D4311" w:rsidRPr="00E84ADC" w:rsidRDefault="00CE3C8D" w:rsidP="001C403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980</w:t>
            </w:r>
          </w:p>
        </w:tc>
      </w:tr>
      <w:tr w:rsidR="005614A3" w:rsidRPr="00E84ADC" w14:paraId="3624D46F" w14:textId="77777777" w:rsidTr="001E1761">
        <w:trPr>
          <w:trHeight w:val="586"/>
          <w:jc w:val="center"/>
        </w:trPr>
        <w:tc>
          <w:tcPr>
            <w:tcW w:w="2127" w:type="dxa"/>
            <w:vAlign w:val="center"/>
          </w:tcPr>
          <w:p w14:paraId="4637F92C" w14:textId="3EFF85DC" w:rsidR="005614A3" w:rsidRPr="00E84ADC" w:rsidRDefault="005614A3" w:rsidP="005614A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2022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CC2E5" w:themeFill="accent5" w:themeFillTint="99"/>
            <w:vAlign w:val="center"/>
          </w:tcPr>
          <w:p w14:paraId="6C5EF821" w14:textId="4E738E69" w:rsidR="005614A3" w:rsidRPr="00E84ADC" w:rsidRDefault="005614A3" w:rsidP="00561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47,41</w:t>
            </w:r>
            <w:r w:rsidR="009F3B5B" w:rsidRPr="00E84ADC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F1"/>
            <w:vAlign w:val="center"/>
          </w:tcPr>
          <w:p w14:paraId="12620074" w14:textId="450419F7" w:rsidR="005614A3" w:rsidRPr="00E84ADC" w:rsidRDefault="005614A3" w:rsidP="00561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1934</w:t>
            </w:r>
          </w:p>
        </w:tc>
        <w:tc>
          <w:tcPr>
            <w:tcW w:w="3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9C9C9" w:themeFill="accent3" w:themeFillTint="99"/>
            <w:vAlign w:val="center"/>
          </w:tcPr>
          <w:p w14:paraId="54B81C5C" w14:textId="4964FCC2" w:rsidR="005614A3" w:rsidRPr="00E84ADC" w:rsidRDefault="005614A3" w:rsidP="00561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917</w:t>
            </w:r>
          </w:p>
        </w:tc>
      </w:tr>
    </w:tbl>
    <w:p w14:paraId="5D6AE2F1" w14:textId="77777777" w:rsidR="005A681B" w:rsidRPr="00E84ADC" w:rsidRDefault="005A681B" w:rsidP="005A681B">
      <w:pPr>
        <w:pStyle w:val="a7"/>
        <w:rPr>
          <w:rFonts w:eastAsiaTheme="minorEastAsia"/>
          <w:lang w:val="ro-RO"/>
        </w:rPr>
      </w:pPr>
    </w:p>
    <w:p w14:paraId="6643490E" w14:textId="77777777" w:rsidR="00142546" w:rsidRPr="00E84ADC" w:rsidRDefault="00142546" w:rsidP="001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MD"/>
        </w:rPr>
        <w:t> </w:t>
      </w:r>
    </w:p>
    <w:p w14:paraId="3E569778" w14:textId="77777777" w:rsidR="00142546" w:rsidRPr="00E84ADC" w:rsidRDefault="00142546" w:rsidP="0014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Formula de calcul: </w:t>
      </w:r>
      <w:r w:rsidRPr="00E84A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MD"/>
        </w:rPr>
        <w:t>Rata dosarelor încheiate printr-o singură ședință de judecată</w:t>
      </w: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 % = (A/B) X 100</w:t>
      </w:r>
    </w:p>
    <w:p w14:paraId="1AFDBA53" w14:textId="26DB5C3C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A 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= Numărul de dosare încheiate prin 0 sau 1 ședință în perioada de referință;</w:t>
      </w:r>
    </w:p>
    <w:p w14:paraId="12E1D2EE" w14:textId="77777777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B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 xml:space="preserve"> = Numărul total al dosarelor încheiate în perioada de referință.</w:t>
      </w:r>
    </w:p>
    <w:p w14:paraId="7C65A097" w14:textId="77777777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 </w:t>
      </w:r>
    </w:p>
    <w:p w14:paraId="61CEC088" w14:textId="6D7E1B73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Definiție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: Indicatorul măsoară procentul dosarelor încheiate printr-o singură ședință de judecată într-o anumită perioadă de timp (</w:t>
      </w:r>
      <w:r w:rsidR="006D4311"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n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u se vor lua în calcul ședințele de pregătire pentru dezbateri judiciare).</w:t>
      </w:r>
    </w:p>
    <w:p w14:paraId="53BD0F07" w14:textId="77777777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 </w:t>
      </w:r>
    </w:p>
    <w:p w14:paraId="16F64F6B" w14:textId="1D9F04E0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Scop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: Capacitatea judecătorului de a soluționa dosarul la prima ședință de examinare a cauzei este asociată cu soluționarea în termen a dosarului. Indicatorul dat reprezintă un instrument utilizat pentru evaluarea modului în care se planifică ședințele de judecată și a practicilor de amânare a ședințelor de judecată.</w:t>
      </w:r>
    </w:p>
    <w:p w14:paraId="589DFAA2" w14:textId="77777777" w:rsidR="004B2EE5" w:rsidRPr="00E84ADC" w:rsidRDefault="004B2EE5" w:rsidP="004B2EE5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MD"/>
        </w:rPr>
        <w:t>Raport statistic</w:t>
      </w:r>
    </w:p>
    <w:p w14:paraId="3FA4F8E9" w14:textId="77777777" w:rsidR="004B2EE5" w:rsidRPr="00E84ADC" w:rsidRDefault="004B2EE5" w:rsidP="004B2EE5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MD"/>
        </w:rPr>
        <w:t>privind numărul de dosare per judecător</w:t>
      </w:r>
    </w:p>
    <w:p w14:paraId="36EDD73D" w14:textId="77777777" w:rsidR="004B2EE5" w:rsidRPr="00E84ADC" w:rsidRDefault="004B2EE5" w:rsidP="004B2EE5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MD"/>
        </w:rPr>
      </w:pPr>
    </w:p>
    <w:p w14:paraId="5D671BC5" w14:textId="77777777" w:rsidR="004B2EE5" w:rsidRPr="00E84ADC" w:rsidRDefault="004B2EE5" w:rsidP="004B2EE5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ro-RO" w:eastAsia="ru-MD"/>
        </w:rPr>
      </w:pPr>
    </w:p>
    <w:tbl>
      <w:tblPr>
        <w:tblW w:w="12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294"/>
        <w:gridCol w:w="1974"/>
        <w:gridCol w:w="1853"/>
        <w:gridCol w:w="2384"/>
      </w:tblGrid>
      <w:tr w:rsidR="004B2EE5" w:rsidRPr="00E84ADC" w14:paraId="18C4EBF2" w14:textId="77777777" w:rsidTr="00E30CD5">
        <w:trPr>
          <w:trHeight w:val="1453"/>
          <w:jc w:val="center"/>
        </w:trPr>
        <w:tc>
          <w:tcPr>
            <w:tcW w:w="3964" w:type="dxa"/>
            <w:shd w:val="clear" w:color="auto" w:fill="auto"/>
            <w:hideMark/>
          </w:tcPr>
          <w:p w14:paraId="071633B0" w14:textId="77777777" w:rsidR="004B2EE5" w:rsidRPr="00E84ADC" w:rsidRDefault="0079037D" w:rsidP="0079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Judecătorii</w:t>
            </w:r>
          </w:p>
        </w:tc>
        <w:tc>
          <w:tcPr>
            <w:tcW w:w="2294" w:type="dxa"/>
            <w:shd w:val="clear" w:color="auto" w:fill="auto"/>
            <w:hideMark/>
          </w:tcPr>
          <w:p w14:paraId="15790773" w14:textId="77777777" w:rsidR="00E30CD5" w:rsidRPr="00E84ADC" w:rsidRDefault="00E30CD5" w:rsidP="008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 xml:space="preserve">Dosare restante la începutul </w:t>
            </w:r>
          </w:p>
          <w:p w14:paraId="79C989B3" w14:textId="2661EACA" w:rsidR="004B2EE5" w:rsidRPr="00E84ADC" w:rsidRDefault="00E30CD5" w:rsidP="008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a. 2022</w:t>
            </w:r>
          </w:p>
        </w:tc>
        <w:tc>
          <w:tcPr>
            <w:tcW w:w="1974" w:type="dxa"/>
            <w:shd w:val="clear" w:color="auto" w:fill="auto"/>
            <w:hideMark/>
          </w:tcPr>
          <w:p w14:paraId="43B4A305" w14:textId="77777777" w:rsidR="004B2EE5" w:rsidRPr="00E84ADC" w:rsidRDefault="004B2EE5" w:rsidP="008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Total repartizate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03DECE90" w14:textId="77777777" w:rsidR="004B2EE5" w:rsidRPr="00E84ADC" w:rsidRDefault="004B2EE5" w:rsidP="008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Total examinate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622AA33B" w14:textId="327DD21D" w:rsidR="004B2EE5" w:rsidRPr="00E84ADC" w:rsidRDefault="004B2EE5" w:rsidP="008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Restanţa dosarelor la 31.12.2022</w:t>
            </w:r>
          </w:p>
        </w:tc>
      </w:tr>
      <w:tr w:rsidR="004B2EE5" w:rsidRPr="00E84ADC" w14:paraId="0085A0B4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559C70C3" w14:textId="3B739B0D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 xml:space="preserve">AFANASI  CURDOV </w:t>
            </w:r>
          </w:p>
        </w:tc>
        <w:tc>
          <w:tcPr>
            <w:tcW w:w="2294" w:type="dxa"/>
            <w:shd w:val="clear" w:color="auto" w:fill="auto"/>
            <w:hideMark/>
          </w:tcPr>
          <w:p w14:paraId="6D9EDE7A" w14:textId="7BBB30CE" w:rsidR="004B2EE5" w:rsidRPr="00E84ADC" w:rsidRDefault="005B61E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40</w:t>
            </w:r>
          </w:p>
        </w:tc>
        <w:tc>
          <w:tcPr>
            <w:tcW w:w="1974" w:type="dxa"/>
            <w:shd w:val="clear" w:color="auto" w:fill="auto"/>
            <w:hideMark/>
          </w:tcPr>
          <w:p w14:paraId="02C9CEE8" w14:textId="0339D9CF" w:rsidR="004B2EE5" w:rsidRPr="00E84ADC" w:rsidRDefault="008A3C6A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266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13135301" w14:textId="3FCEBD7A" w:rsidR="004B2EE5" w:rsidRPr="00E84ADC" w:rsidRDefault="008A3C6A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253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2B6FF137" w14:textId="0DE66367" w:rsidR="004B2EE5" w:rsidRPr="00E84ADC" w:rsidRDefault="00993747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53</w:t>
            </w:r>
          </w:p>
        </w:tc>
      </w:tr>
      <w:tr w:rsidR="004B2EE5" w:rsidRPr="00E84ADC" w14:paraId="1494D828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2172C513" w14:textId="4A609EA1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ANDREI MIRONOV</w:t>
            </w:r>
          </w:p>
        </w:tc>
        <w:tc>
          <w:tcPr>
            <w:tcW w:w="2294" w:type="dxa"/>
            <w:shd w:val="clear" w:color="auto" w:fill="auto"/>
            <w:hideMark/>
          </w:tcPr>
          <w:p w14:paraId="4AFF3FC5" w14:textId="4BD6FD95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65</w:t>
            </w:r>
          </w:p>
        </w:tc>
        <w:tc>
          <w:tcPr>
            <w:tcW w:w="1974" w:type="dxa"/>
            <w:shd w:val="clear" w:color="auto" w:fill="auto"/>
            <w:hideMark/>
          </w:tcPr>
          <w:p w14:paraId="3D3E540D" w14:textId="123871B1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247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1B2B5309" w14:textId="358A0619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249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776263A0" w14:textId="1224D65B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63</w:t>
            </w:r>
          </w:p>
        </w:tc>
      </w:tr>
      <w:tr w:rsidR="004B2EE5" w:rsidRPr="00E84ADC" w14:paraId="1BFFF231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2D3520B8" w14:textId="0EB96420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DMITRII FUJENCO</w:t>
            </w:r>
          </w:p>
        </w:tc>
        <w:tc>
          <w:tcPr>
            <w:tcW w:w="2294" w:type="dxa"/>
            <w:shd w:val="clear" w:color="auto" w:fill="auto"/>
            <w:hideMark/>
          </w:tcPr>
          <w:p w14:paraId="6A34F06F" w14:textId="04F7BB7E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59</w:t>
            </w:r>
          </w:p>
        </w:tc>
        <w:tc>
          <w:tcPr>
            <w:tcW w:w="1974" w:type="dxa"/>
            <w:shd w:val="clear" w:color="auto" w:fill="auto"/>
            <w:hideMark/>
          </w:tcPr>
          <w:p w14:paraId="0BF8B801" w14:textId="7E45C3FC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317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5FB7C47F" w14:textId="33CEBBB4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286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40A52EC4" w14:textId="455B9C19" w:rsidR="004B2EE5" w:rsidRPr="00E84ADC" w:rsidRDefault="0017387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90</w:t>
            </w:r>
          </w:p>
        </w:tc>
      </w:tr>
      <w:tr w:rsidR="004B2EE5" w:rsidRPr="00E84ADC" w14:paraId="293B5019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44FB053C" w14:textId="14C8D130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GRIGORI COLEV</w:t>
            </w:r>
          </w:p>
        </w:tc>
        <w:tc>
          <w:tcPr>
            <w:tcW w:w="2294" w:type="dxa"/>
            <w:shd w:val="clear" w:color="auto" w:fill="auto"/>
            <w:hideMark/>
          </w:tcPr>
          <w:p w14:paraId="6D04BAEA" w14:textId="45A40851" w:rsidR="004B2EE5" w:rsidRPr="00E84ADC" w:rsidRDefault="00946902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23</w:t>
            </w:r>
          </w:p>
        </w:tc>
        <w:tc>
          <w:tcPr>
            <w:tcW w:w="1974" w:type="dxa"/>
            <w:shd w:val="clear" w:color="auto" w:fill="auto"/>
            <w:hideMark/>
          </w:tcPr>
          <w:p w14:paraId="6983A754" w14:textId="1C0D0C41" w:rsidR="004B2EE5" w:rsidRPr="00E84ADC" w:rsidRDefault="00946902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272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7AB73953" w14:textId="34A0A274" w:rsidR="004B2EE5" w:rsidRPr="00E84ADC" w:rsidRDefault="00946902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243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063137EE" w14:textId="2C6095E4" w:rsidR="004B2EE5" w:rsidRPr="00E84ADC" w:rsidRDefault="00946902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52</w:t>
            </w:r>
          </w:p>
        </w:tc>
      </w:tr>
      <w:tr w:rsidR="004B2EE5" w:rsidRPr="00E84ADC" w14:paraId="4019FD51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637C901E" w14:textId="177CFEDE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LIUDMILA CARAIANU</w:t>
            </w:r>
          </w:p>
        </w:tc>
        <w:tc>
          <w:tcPr>
            <w:tcW w:w="2294" w:type="dxa"/>
            <w:shd w:val="clear" w:color="auto" w:fill="auto"/>
            <w:hideMark/>
          </w:tcPr>
          <w:p w14:paraId="3CB1C237" w14:textId="5AB2F1D7" w:rsidR="004B2EE5" w:rsidRPr="00E84ADC" w:rsidRDefault="00946902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40</w:t>
            </w:r>
          </w:p>
        </w:tc>
        <w:tc>
          <w:tcPr>
            <w:tcW w:w="1974" w:type="dxa"/>
            <w:shd w:val="clear" w:color="auto" w:fill="auto"/>
            <w:hideMark/>
          </w:tcPr>
          <w:p w14:paraId="0A74805D" w14:textId="2B770C08" w:rsidR="004B2EE5" w:rsidRPr="00E84ADC" w:rsidRDefault="001F4347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337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326D3518" w14:textId="4E95319E" w:rsidR="004B2EE5" w:rsidRPr="00E84ADC" w:rsidRDefault="001F4347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313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4FD882AD" w14:textId="7D17A07E" w:rsidR="004B2EE5" w:rsidRPr="00E84ADC" w:rsidRDefault="004508C3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64</w:t>
            </w:r>
          </w:p>
        </w:tc>
      </w:tr>
      <w:tr w:rsidR="004B2EE5" w:rsidRPr="00E84ADC" w14:paraId="747B2240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4017D76E" w14:textId="0C153712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SERGHEI GUBENCO</w:t>
            </w:r>
          </w:p>
        </w:tc>
        <w:tc>
          <w:tcPr>
            <w:tcW w:w="2294" w:type="dxa"/>
            <w:shd w:val="clear" w:color="auto" w:fill="auto"/>
            <w:hideMark/>
          </w:tcPr>
          <w:p w14:paraId="6DB069FB" w14:textId="27096DD0" w:rsidR="004B2EE5" w:rsidRPr="00E84ADC" w:rsidRDefault="004508C3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71</w:t>
            </w:r>
          </w:p>
        </w:tc>
        <w:tc>
          <w:tcPr>
            <w:tcW w:w="1974" w:type="dxa"/>
            <w:shd w:val="clear" w:color="auto" w:fill="auto"/>
            <w:hideMark/>
          </w:tcPr>
          <w:p w14:paraId="23DEA5EA" w14:textId="19ED092F" w:rsidR="004B2EE5" w:rsidRPr="00E84ADC" w:rsidRDefault="004508C3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336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2F8FD2DB" w14:textId="1D283D99" w:rsidR="004B2EE5" w:rsidRPr="00E84ADC" w:rsidRDefault="004508C3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314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12056833" w14:textId="60D76CF8" w:rsidR="004B2EE5" w:rsidRPr="00E84ADC" w:rsidRDefault="004508C3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9</w:t>
            </w:r>
            <w:r w:rsidR="004B2EE5"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3</w:t>
            </w:r>
          </w:p>
        </w:tc>
      </w:tr>
      <w:tr w:rsidR="004B2EE5" w:rsidRPr="00E84ADC" w14:paraId="420F58D4" w14:textId="77777777" w:rsidTr="00E30CD5">
        <w:trPr>
          <w:trHeight w:val="473"/>
          <w:jc w:val="center"/>
        </w:trPr>
        <w:tc>
          <w:tcPr>
            <w:tcW w:w="3964" w:type="dxa"/>
            <w:shd w:val="clear" w:color="auto" w:fill="auto"/>
            <w:hideMark/>
          </w:tcPr>
          <w:p w14:paraId="32DDD428" w14:textId="697C9792" w:rsidR="004B2EE5" w:rsidRPr="00E84ADC" w:rsidRDefault="00D12BDF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ȘTEFAN STARCIUC</w:t>
            </w:r>
          </w:p>
        </w:tc>
        <w:tc>
          <w:tcPr>
            <w:tcW w:w="2294" w:type="dxa"/>
            <w:shd w:val="clear" w:color="auto" w:fill="auto"/>
            <w:hideMark/>
          </w:tcPr>
          <w:p w14:paraId="0320D362" w14:textId="4E0BF1A2" w:rsidR="004B2EE5" w:rsidRPr="00E84ADC" w:rsidRDefault="0051496E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40</w:t>
            </w:r>
          </w:p>
        </w:tc>
        <w:tc>
          <w:tcPr>
            <w:tcW w:w="1974" w:type="dxa"/>
            <w:shd w:val="clear" w:color="auto" w:fill="auto"/>
            <w:hideMark/>
          </w:tcPr>
          <w:p w14:paraId="1D5A09B5" w14:textId="6D4AC2C8" w:rsidR="004B2EE5" w:rsidRPr="00E84ADC" w:rsidRDefault="0051496E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259</w:t>
            </w:r>
          </w:p>
        </w:tc>
        <w:tc>
          <w:tcPr>
            <w:tcW w:w="1853" w:type="dxa"/>
            <w:shd w:val="clear" w:color="auto" w:fill="B4C6E7" w:themeFill="accent1" w:themeFillTint="66"/>
            <w:hideMark/>
          </w:tcPr>
          <w:p w14:paraId="22331397" w14:textId="7B1BE5D0" w:rsidR="004B2EE5" w:rsidRPr="00E84ADC" w:rsidRDefault="0051496E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245</w:t>
            </w:r>
          </w:p>
        </w:tc>
        <w:tc>
          <w:tcPr>
            <w:tcW w:w="2384" w:type="dxa"/>
            <w:shd w:val="clear" w:color="auto" w:fill="FFE599" w:themeFill="accent4" w:themeFillTint="66"/>
            <w:hideMark/>
          </w:tcPr>
          <w:p w14:paraId="6C7E3DA2" w14:textId="77BF83FF" w:rsidR="004B2EE5" w:rsidRPr="00E84ADC" w:rsidRDefault="0051496E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MD"/>
              </w:rPr>
              <w:t>54</w:t>
            </w:r>
          </w:p>
        </w:tc>
      </w:tr>
      <w:tr w:rsidR="004B2EE5" w:rsidRPr="00E84ADC" w14:paraId="0859A614" w14:textId="77777777" w:rsidTr="00E30CD5">
        <w:trPr>
          <w:trHeight w:val="473"/>
          <w:jc w:val="center"/>
        </w:trPr>
        <w:tc>
          <w:tcPr>
            <w:tcW w:w="3964" w:type="dxa"/>
            <w:shd w:val="clear" w:color="D3D3D3" w:fill="D3D3D3"/>
            <w:hideMark/>
          </w:tcPr>
          <w:p w14:paraId="61CF82EC" w14:textId="77777777" w:rsidR="004B2EE5" w:rsidRPr="00E84ADC" w:rsidRDefault="004B2EE5" w:rsidP="008A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TOTAL</w:t>
            </w:r>
          </w:p>
        </w:tc>
        <w:tc>
          <w:tcPr>
            <w:tcW w:w="2294" w:type="dxa"/>
            <w:shd w:val="clear" w:color="D3D3D3" w:fill="D3D3D3"/>
            <w:hideMark/>
          </w:tcPr>
          <w:p w14:paraId="70DE83A1" w14:textId="59D72B79" w:rsidR="004B2EE5" w:rsidRPr="00E84ADC" w:rsidRDefault="004C771C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338</w:t>
            </w:r>
          </w:p>
        </w:tc>
        <w:tc>
          <w:tcPr>
            <w:tcW w:w="1974" w:type="dxa"/>
            <w:shd w:val="clear" w:color="D3D3D3" w:fill="D3D3D3"/>
            <w:hideMark/>
          </w:tcPr>
          <w:p w14:paraId="236CA6E9" w14:textId="1D82D71F" w:rsidR="004B2EE5" w:rsidRPr="00E84ADC" w:rsidRDefault="00B62F9D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2034</w:t>
            </w:r>
          </w:p>
        </w:tc>
        <w:tc>
          <w:tcPr>
            <w:tcW w:w="1853" w:type="dxa"/>
            <w:shd w:val="clear" w:color="D3D3D3" w:fill="D3D3D3"/>
            <w:hideMark/>
          </w:tcPr>
          <w:p w14:paraId="1A4BF005" w14:textId="1F4D8E0A" w:rsidR="004B2EE5" w:rsidRPr="00E84ADC" w:rsidRDefault="00B62F9D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1903</w:t>
            </w:r>
          </w:p>
        </w:tc>
        <w:tc>
          <w:tcPr>
            <w:tcW w:w="2384" w:type="dxa"/>
            <w:shd w:val="clear" w:color="D3D3D3" w:fill="D3D3D3"/>
            <w:hideMark/>
          </w:tcPr>
          <w:p w14:paraId="3C5AF444" w14:textId="3CFA0A6A" w:rsidR="004B2EE5" w:rsidRPr="00E84ADC" w:rsidRDefault="00237A3B" w:rsidP="0073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o-RO" w:eastAsia="ru-MD"/>
              </w:rPr>
              <w:t>469</w:t>
            </w:r>
          </w:p>
        </w:tc>
      </w:tr>
    </w:tbl>
    <w:p w14:paraId="72450AC7" w14:textId="77777777" w:rsidR="004B2EE5" w:rsidRPr="00E84ADC" w:rsidRDefault="004B2EE5" w:rsidP="004B2EE5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val="ro-RO" w:eastAsia="ru-MD"/>
        </w:rPr>
      </w:pPr>
    </w:p>
    <w:p w14:paraId="788AD133" w14:textId="00888AD7" w:rsidR="004B2EE5" w:rsidRPr="00E84ADC" w:rsidRDefault="004B2EE5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11431095" w14:textId="54DFD9A1" w:rsidR="004B2EE5" w:rsidRPr="00E84ADC" w:rsidRDefault="004B2EE5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2AACCEFE" w14:textId="4C216145" w:rsidR="004B2EE5" w:rsidRPr="00E84ADC" w:rsidRDefault="004B2EE5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379D7241" w14:textId="2E34E774" w:rsidR="0079037D" w:rsidRPr="00E84ADC" w:rsidRDefault="0079037D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3EA01DB0" w14:textId="1F9FCCE5" w:rsidR="0079037D" w:rsidRPr="00E84ADC" w:rsidRDefault="0079037D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50842C81" w14:textId="79AC3D5B" w:rsidR="0079037D" w:rsidRPr="00E84ADC" w:rsidRDefault="0079037D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5FBACCDC" w14:textId="1C51F70E" w:rsidR="0079037D" w:rsidRPr="00E84ADC" w:rsidRDefault="0079037D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0F7F937B" w14:textId="2C497C6C" w:rsidR="0079037D" w:rsidRPr="00E84ADC" w:rsidRDefault="0079037D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1A37118E" w14:textId="4DA931A7" w:rsidR="0079037D" w:rsidRPr="00E84ADC" w:rsidRDefault="0079037D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6A43515E" w14:textId="75AB34D7" w:rsidR="00FB6030" w:rsidRPr="00E84ADC" w:rsidRDefault="00FB6030" w:rsidP="00FB6030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■ </w:t>
      </w:r>
      <w:r w:rsidR="000E0AC1"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   </w:t>
      </w: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Cauze per judecător (CPJ): </w:t>
      </w: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402"/>
        <w:gridCol w:w="86"/>
      </w:tblGrid>
      <w:tr w:rsidR="00180CFE" w:rsidRPr="00E84ADC" w14:paraId="2AF709A2" w14:textId="77777777" w:rsidTr="00A0517B">
        <w:trPr>
          <w:trHeight w:val="6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1C0BAF" w14:textId="0627AC12" w:rsidR="00180CFE" w:rsidRPr="00E84ADC" w:rsidRDefault="00A15714" w:rsidP="00180CFE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>Cauze</w:t>
            </w:r>
            <w:r w:rsidR="00180CFE"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 xml:space="preserve"> per judecător</w:t>
            </w:r>
            <w:r w:rsidR="00A0517B"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 xml:space="preserve">     </w:t>
            </w:r>
            <w:r w:rsidR="00180CFE"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 xml:space="preserve"> =</w:t>
            </w:r>
          </w:p>
          <w:p w14:paraId="21F92CA4" w14:textId="77777777" w:rsidR="00180CFE" w:rsidRPr="00E84ADC" w:rsidRDefault="00180CFE" w:rsidP="00180CFE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40" w:type="dxa"/>
              <w:bottom w:w="40" w:type="dxa"/>
              <w:right w:w="40" w:type="dxa"/>
            </w:tcMar>
            <w:hideMark/>
          </w:tcPr>
          <w:p w14:paraId="6F3250FD" w14:textId="77777777" w:rsidR="00180CFE" w:rsidRPr="00E84ADC" w:rsidRDefault="00180CFE" w:rsidP="00180CF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ro-RO" w:eastAsia="ru-MD"/>
              </w:rPr>
              <w:t xml:space="preserve">cuaze încheiate </w:t>
            </w:r>
          </w:p>
          <w:p w14:paraId="7859E9B3" w14:textId="1AE4CC8A" w:rsidR="00180CFE" w:rsidRPr="00E84ADC" w:rsidRDefault="00180CFE" w:rsidP="00180CF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 xml:space="preserve">num. judecători </w:t>
            </w:r>
            <w:r w:rsidRPr="00E84A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o-RO"/>
              </w:rPr>
              <w:t>(ENI)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7C0AA" w14:textId="201744C6" w:rsidR="00180CFE" w:rsidRPr="00E84ADC" w:rsidRDefault="00180CFE" w:rsidP="00180C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val="ro-RO" w:eastAsia="ru-MD"/>
              </w:rPr>
            </w:pPr>
          </w:p>
        </w:tc>
      </w:tr>
    </w:tbl>
    <w:p w14:paraId="06450EC1" w14:textId="77777777" w:rsidR="00FB6030" w:rsidRPr="00E84ADC" w:rsidRDefault="00FB6030" w:rsidP="00FB6030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■    Cauze per personal (CPS):    </w:t>
      </w:r>
    </w:p>
    <w:p w14:paraId="4AA589F6" w14:textId="1A03B8F2" w:rsidR="00FB6030" w:rsidRPr="00E84ADC" w:rsidRDefault="00FB6030" w:rsidP="00FB6030">
      <w:pPr>
        <w:spacing w:after="0"/>
        <w:rPr>
          <w:rFonts w:ascii="Times New Roman" w:hAnsi="Times New Roman" w:cs="Times New Roman"/>
          <w:b/>
          <w:sz w:val="10"/>
          <w:szCs w:val="10"/>
          <w:lang w:val="ro-RO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606"/>
        <w:gridCol w:w="370"/>
      </w:tblGrid>
      <w:tr w:rsidR="00042CC2" w:rsidRPr="00E84ADC" w14:paraId="2AD54191" w14:textId="77777777" w:rsidTr="00042CC2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D3FB41" w14:textId="77777777" w:rsidR="00042CC2" w:rsidRPr="00E84ADC" w:rsidRDefault="00042CC2" w:rsidP="00042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 </w:t>
            </w:r>
          </w:p>
          <w:p w14:paraId="705ABF1B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Definiție: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 xml:space="preserve"> Indicatorul măsoară raportul dintre numărul de angajați (exceptînd judecătorii) dintr-o instanță într-o perioadă de timp și cauzele soluționate de aceeași instanță în aceeași perioadă de timp.</w:t>
            </w:r>
          </w:p>
          <w:p w14:paraId="64626E7C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  <w:p w14:paraId="2F3578AB" w14:textId="77777777" w:rsidR="00042CC2" w:rsidRPr="00E84ADC" w:rsidRDefault="00042CC2" w:rsidP="00042CC2">
            <w:pPr>
              <w:spacing w:after="0" w:line="22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Scop: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 xml:space="preserve"> 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Indicatorul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 xml:space="preserve"> 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oferă informație în privința distribuirii volumului de lucru între angajații instanței. Acest indicator poate fi utilizat pentru compararea volumului de lucru la instanțe (de exemplu, de același tip) sau pentru a monitoriza performanța angajaților în timp.</w:t>
            </w:r>
          </w:p>
          <w:p w14:paraId="316307FF" w14:textId="77777777" w:rsidR="00042CC2" w:rsidRPr="00E84ADC" w:rsidRDefault="00042CC2" w:rsidP="00042CC2">
            <w:pPr>
              <w:spacing w:after="0" w:line="220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  <w:p w14:paraId="3F368D3D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Formula de calcul a indicatorului:</w:t>
            </w:r>
          </w:p>
        </w:tc>
      </w:tr>
      <w:tr w:rsidR="00042CC2" w:rsidRPr="00E84ADC" w14:paraId="4EB4ECFE" w14:textId="77777777" w:rsidTr="00042CC2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411A70" w14:textId="77777777" w:rsidR="00042CC2" w:rsidRPr="00E84ADC" w:rsidRDefault="00042CC2" w:rsidP="00042CC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> </w:t>
            </w:r>
          </w:p>
          <w:p w14:paraId="26A00E76" w14:textId="77777777" w:rsidR="00042CC2" w:rsidRPr="00E84ADC" w:rsidRDefault="00042CC2" w:rsidP="00042CC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 xml:space="preserve">CPS = </w:t>
            </w:r>
          </w:p>
          <w:p w14:paraId="65577B30" w14:textId="77777777" w:rsidR="00042CC2" w:rsidRPr="00E84ADC" w:rsidRDefault="00042CC2" w:rsidP="00042CC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40" w:type="dxa"/>
              <w:bottom w:w="40" w:type="dxa"/>
              <w:right w:w="40" w:type="dxa"/>
            </w:tcMar>
            <w:hideMark/>
          </w:tcPr>
          <w:p w14:paraId="681DD4B9" w14:textId="77777777" w:rsidR="00042CC2" w:rsidRPr="00E84ADC" w:rsidRDefault="00042CC2" w:rsidP="00042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o-RO" w:eastAsia="ru-MD"/>
              </w:rPr>
              <w:t xml:space="preserve">Numărul de cauze soluționate într−o anumită perioadă </w:t>
            </w:r>
          </w:p>
          <w:p w14:paraId="5B76B9D0" w14:textId="77777777" w:rsidR="00042CC2" w:rsidRPr="00E84ADC" w:rsidRDefault="00042CC2" w:rsidP="00042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Numărul total al angajaților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C33D05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  <w:p w14:paraId="0108EE91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</w:tc>
      </w:tr>
    </w:tbl>
    <w:p w14:paraId="0280DB7A" w14:textId="77777777" w:rsidR="00FB6030" w:rsidRPr="00E84ADC" w:rsidRDefault="00FB6030" w:rsidP="00FB6030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■    Personal per judecător (SPJ): </w:t>
      </w:r>
    </w:p>
    <w:p w14:paraId="1DDDD7F0" w14:textId="2215427D" w:rsidR="00BD6285" w:rsidRPr="00E84ADC" w:rsidRDefault="00FB6030" w:rsidP="00FB6030">
      <w:pPr>
        <w:spacing w:after="0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Raportul </w:t>
      </w:r>
      <w:r w:rsidR="00C800B3" w:rsidRPr="00E84ADC">
        <w:rPr>
          <w:rFonts w:ascii="Times New Roman" w:hAnsi="Times New Roman" w:cs="Times New Roman"/>
          <w:b/>
          <w:sz w:val="36"/>
          <w:szCs w:val="36"/>
          <w:lang w:val="ro-RO"/>
        </w:rPr>
        <w:t>î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ntre numărul personalului unei instanţe şi numărul judecătorilor </w:t>
      </w:r>
      <w:r w:rsidR="00CE182E" w:rsidRPr="00E84ADC">
        <w:rPr>
          <w:rFonts w:ascii="Times New Roman" w:hAnsi="Times New Roman" w:cs="Times New Roman"/>
          <w:b/>
          <w:sz w:val="36"/>
          <w:szCs w:val="36"/>
          <w:lang w:val="ro-RO"/>
        </w:rPr>
        <w:t>aceleiași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CE182E" w:rsidRPr="00E84ADC">
        <w:rPr>
          <w:rFonts w:ascii="Times New Roman" w:hAnsi="Times New Roman" w:cs="Times New Roman"/>
          <w:b/>
          <w:sz w:val="36"/>
          <w:szCs w:val="36"/>
          <w:lang w:val="ro-RO"/>
        </w:rPr>
        <w:t>instanțe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pe parcursul unei </w:t>
      </w:r>
      <w:r w:rsidR="00C800B3"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anumite 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>perioade de timp. O alocare potrivită a personalului judiciar şi administrativ duce la o eficienţă mai înaltă a serviciilor judiciare.</w:t>
      </w:r>
    </w:p>
    <w:p w14:paraId="2D73144F" w14:textId="7A2D8ED7" w:rsidR="00EC654F" w:rsidRPr="00E84ADC" w:rsidRDefault="00EC654F" w:rsidP="00F574AD">
      <w:pPr>
        <w:spacing w:after="0"/>
        <w:jc w:val="center"/>
        <w:rPr>
          <w:rStyle w:val="af2"/>
          <w:lang w:val="ro-RO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6299"/>
        <w:gridCol w:w="1123"/>
      </w:tblGrid>
      <w:tr w:rsidR="00613656" w:rsidRPr="00E84ADC" w14:paraId="0E115E40" w14:textId="77777777" w:rsidTr="004D79BF">
        <w:trPr>
          <w:trHeight w:val="8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A75FE6" w14:textId="65119138" w:rsidR="00613656" w:rsidRPr="00E84ADC" w:rsidRDefault="00613656" w:rsidP="00C7771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</w:p>
          <w:p w14:paraId="497E41D2" w14:textId="735BCBF7" w:rsidR="00613656" w:rsidRPr="00E84ADC" w:rsidRDefault="00613656" w:rsidP="00B56F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ro-RO" w:eastAsia="ru-MD"/>
              </w:rPr>
              <w:t>SPJ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40" w:type="dxa"/>
              <w:bottom w:w="40" w:type="dxa"/>
              <w:right w:w="40" w:type="dxa"/>
            </w:tcMar>
            <w:hideMark/>
          </w:tcPr>
          <w:p w14:paraId="0BAFEF48" w14:textId="1A53BA5D" w:rsidR="00613656" w:rsidRPr="00E84ADC" w:rsidRDefault="00613656" w:rsidP="006136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ro-RO" w:eastAsia="ru-MD"/>
              </w:rPr>
              <w:t xml:space="preserve">Numărul total al personalului administrativ </w:t>
            </w:r>
          </w:p>
          <w:p w14:paraId="777B5666" w14:textId="77777777" w:rsidR="00613656" w:rsidRPr="00E84ADC" w:rsidRDefault="00613656" w:rsidP="006136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  <w:t>Numărul de judecători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AE7E91" w14:textId="77777777" w:rsidR="00613656" w:rsidRPr="00E84ADC" w:rsidRDefault="00613656" w:rsidP="006136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  <w:t> </w:t>
            </w:r>
          </w:p>
          <w:p w14:paraId="2E3A4FBA" w14:textId="77777777" w:rsidR="00613656" w:rsidRPr="00E84ADC" w:rsidRDefault="00613656" w:rsidP="006136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  <w:t>×100%</w:t>
            </w:r>
          </w:p>
        </w:tc>
      </w:tr>
    </w:tbl>
    <w:p w14:paraId="020CC66F" w14:textId="7E3BB2F4" w:rsidR="00EE12C1" w:rsidRPr="00E84ADC" w:rsidRDefault="00EE12C1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69286F" w14:textId="492FC141" w:rsidR="002C4230" w:rsidRPr="00E84ADC" w:rsidRDefault="00AA232C" w:rsidP="00CB6219">
      <w:pPr>
        <w:shd w:val="clear" w:color="auto" w:fill="8EAADB" w:themeFill="accent1" w:themeFillTint="99"/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o-RO" w:eastAsia="ru-RU"/>
        </w:rPr>
      </w:pPr>
      <w:r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>Indicatorii de performanță</w:t>
      </w:r>
      <w:r w:rsidR="002C4230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 </w:t>
      </w:r>
      <w:r w:rsidR="002F7495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(resurse </w:t>
      </w:r>
      <w:r w:rsidR="0031324F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umane </w:t>
      </w:r>
      <w:r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>şi</w:t>
      </w:r>
      <w:r w:rsidR="0031324F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 financiare</w:t>
      </w:r>
      <w:r w:rsidR="002F7495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>)</w:t>
      </w:r>
    </w:p>
    <w:tbl>
      <w:tblPr>
        <w:tblW w:w="151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920"/>
        <w:gridCol w:w="1476"/>
        <w:gridCol w:w="1506"/>
        <w:gridCol w:w="1384"/>
        <w:gridCol w:w="1431"/>
        <w:gridCol w:w="1394"/>
        <w:gridCol w:w="1386"/>
      </w:tblGrid>
      <w:tr w:rsidR="00550228" w:rsidRPr="00E84ADC" w14:paraId="004B5BA0" w14:textId="32212523" w:rsidTr="00550228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05DF" w14:textId="77777777" w:rsidR="00550228" w:rsidRPr="00E84ADC" w:rsidRDefault="00550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bookmarkStart w:id="1" w:name="_Hlk32415126"/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Nr.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FF39" w14:textId="77777777" w:rsidR="00550228" w:rsidRPr="00E84ADC" w:rsidRDefault="0055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Indicatorii de performanță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304ED" w14:textId="77777777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BC0F" w14:textId="77777777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30AA" w14:textId="3CECD9FA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CFB3" w14:textId="2394B4A4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45A7" w14:textId="025A669B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728D" w14:textId="05641FA1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2022</w:t>
            </w:r>
          </w:p>
        </w:tc>
      </w:tr>
      <w:bookmarkEnd w:id="1"/>
      <w:tr w:rsidR="00550228" w:rsidRPr="00E84ADC" w14:paraId="0BFA35A5" w14:textId="0C2965F7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204FB" w14:textId="77777777" w:rsidR="00550228" w:rsidRPr="00E84ADC" w:rsidRDefault="00550228" w:rsidP="00280640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11D6" w14:textId="77777777" w:rsidR="00550228" w:rsidRPr="00E84ADC" w:rsidRDefault="00550228" w:rsidP="0028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Judecători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713F0" w14:textId="13EECF1F" w:rsidR="00550228" w:rsidRPr="00E84ADC" w:rsidRDefault="00550228" w:rsidP="0028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4A5D2" w14:textId="04F707B1" w:rsidR="00550228" w:rsidRPr="00E84ADC" w:rsidRDefault="00550228" w:rsidP="0028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5,1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FB71" w14:textId="4B8C861E" w:rsidR="00550228" w:rsidRPr="00E84ADC" w:rsidRDefault="00550228" w:rsidP="0028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4,8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96AD" w14:textId="733B9D31" w:rsidR="00550228" w:rsidRPr="00E84ADC" w:rsidRDefault="00550228" w:rsidP="0028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o-RO"/>
              </w:rPr>
              <w:t>5,75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E8C" w14:textId="510A45E1" w:rsidR="00550228" w:rsidRPr="00E84ADC" w:rsidRDefault="00550228" w:rsidP="0028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o-RO"/>
              </w:rPr>
              <w:t>6,50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66EF" w14:textId="7B1D156C" w:rsidR="00550228" w:rsidRPr="00E84ADC" w:rsidRDefault="00404AF9" w:rsidP="0028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sz w:val="36"/>
                <w:szCs w:val="36"/>
                <w:lang w:val="ro-RO" w:eastAsia="ro-RO"/>
              </w:rPr>
              <w:t>6,8</w:t>
            </w:r>
          </w:p>
        </w:tc>
      </w:tr>
      <w:tr w:rsidR="00550228" w:rsidRPr="00E84ADC" w14:paraId="56DF4B65" w14:textId="542EAD20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8B1F1" w14:textId="77777777" w:rsidR="00550228" w:rsidRPr="00E84ADC" w:rsidRDefault="00550228" w:rsidP="009F71F9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A77" w14:textId="4AB6EFAC" w:rsidR="00550228" w:rsidRPr="00E84ADC" w:rsidRDefault="00550228" w:rsidP="009F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 xml:space="preserve">Asistenți judiciari, grefieri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CEEC0" w14:textId="77777777" w:rsidR="00550228" w:rsidRPr="00E84ADC" w:rsidRDefault="00550228" w:rsidP="009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FF537" w14:textId="77777777" w:rsidR="00550228" w:rsidRPr="00E84ADC" w:rsidRDefault="00550228" w:rsidP="009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11,70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922B" w14:textId="0D3D8C4F" w:rsidR="00550228" w:rsidRPr="00E84ADC" w:rsidRDefault="00550228" w:rsidP="009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12,54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ECE8" w14:textId="6CEC0FF0" w:rsidR="00550228" w:rsidRPr="00E84ADC" w:rsidRDefault="00550228" w:rsidP="009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o-RO"/>
              </w:rPr>
              <w:t>12,50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F387" w14:textId="372C55B6" w:rsidR="00550228" w:rsidRPr="00E84ADC" w:rsidRDefault="00550228" w:rsidP="009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o-RO"/>
              </w:rPr>
              <w:t>13,20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7759" w14:textId="25CBC101" w:rsidR="00550228" w:rsidRPr="00E84ADC" w:rsidRDefault="00404AF9" w:rsidP="009F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sz w:val="36"/>
                <w:szCs w:val="36"/>
                <w:lang w:val="ro-RO" w:eastAsia="ro-RO"/>
              </w:rPr>
              <w:t>13,</w:t>
            </w:r>
            <w:r w:rsidR="002C6ACB" w:rsidRPr="00E84ADC">
              <w:rPr>
                <w:rFonts w:ascii="Times New Roman" w:hAnsi="Times New Roman" w:cs="Times New Roman"/>
                <w:sz w:val="36"/>
                <w:szCs w:val="36"/>
                <w:lang w:val="ro-RO" w:eastAsia="ro-RO"/>
              </w:rPr>
              <w:t>5</w:t>
            </w:r>
          </w:p>
        </w:tc>
      </w:tr>
      <w:tr w:rsidR="00550228" w:rsidRPr="00E84ADC" w14:paraId="2CEE67FF" w14:textId="2F535931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74F1" w14:textId="77777777" w:rsidR="00550228" w:rsidRPr="00E84ADC" w:rsidRDefault="00550228" w:rsidP="00FB04D4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94187" w14:textId="4D7FE765" w:rsidR="00550228" w:rsidRPr="00E84ADC" w:rsidRDefault="00550228" w:rsidP="00FB0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Rata asistenți judiciari, grefieri / Judecător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173BB2C" w14:textId="3EDCDC71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2,34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E06CCF" w14:textId="3A01B138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B3BB5" w14:textId="6DF886D6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2,61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DE9C5" w14:textId="20C965D6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2,17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45501" w14:textId="4BC71876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2,03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167B2" w14:textId="49279F7B" w:rsidR="00550228" w:rsidRPr="00E84ADC" w:rsidRDefault="001F78C6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2,0</w:t>
            </w:r>
          </w:p>
        </w:tc>
      </w:tr>
      <w:tr w:rsidR="00550228" w:rsidRPr="00E84ADC" w14:paraId="43C04001" w14:textId="0443E8AA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4AD1" w14:textId="77777777" w:rsidR="00550228" w:rsidRPr="00E84ADC" w:rsidRDefault="00550228" w:rsidP="00FB04D4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7B3" w14:textId="2DBDA749" w:rsidR="00550228" w:rsidRPr="00E84ADC" w:rsidRDefault="00550228" w:rsidP="00FB0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Personalul non-judiciar (fără muncitori)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7145A" w14:textId="2E59C8B8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18,04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8EA0" w14:textId="6A4DE282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16,88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9D97" w14:textId="5B9B735C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17,94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B712" w14:textId="7705A92B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17,96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91E3" w14:textId="6A598CA3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17,89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82CC" w14:textId="72A78F34" w:rsidR="00550228" w:rsidRPr="00E84ADC" w:rsidRDefault="00795D62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6"/>
                <w:szCs w:val="36"/>
                <w:lang w:val="ro-RO" w:eastAsia="ru-RU"/>
              </w:rPr>
              <w:t>18,</w:t>
            </w:r>
            <w:r w:rsidR="003D6C89" w:rsidRPr="00E84ADC">
              <w:rPr>
                <w:rFonts w:ascii="Times New Roman" w:hAnsi="Times New Roman" w:cs="Times New Roman"/>
                <w:sz w:val="36"/>
                <w:szCs w:val="36"/>
                <w:lang w:val="ro-RO" w:eastAsia="ru-RU"/>
              </w:rPr>
              <w:t>5</w:t>
            </w:r>
          </w:p>
        </w:tc>
      </w:tr>
      <w:tr w:rsidR="00550228" w:rsidRPr="00E84ADC" w14:paraId="417F1711" w14:textId="38439910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42D3" w14:textId="77777777" w:rsidR="00550228" w:rsidRPr="00E84ADC" w:rsidRDefault="00550228" w:rsidP="00FB04D4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809" w14:textId="7E092291" w:rsidR="00550228" w:rsidRPr="00E84ADC" w:rsidRDefault="00550228" w:rsidP="00FB0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Numărul total al angajaților (2+4)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DD3E0" w14:textId="6B26F92C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29,04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613B7" w14:textId="7E060F28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28,58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C9663" w14:textId="6169B617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30,48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2428" w14:textId="167FD201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30,46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83AD" w14:textId="02CA9F3D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31,09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3C332" w14:textId="212DADE9" w:rsidR="00550228" w:rsidRPr="00E84ADC" w:rsidRDefault="00795D62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6"/>
                <w:szCs w:val="36"/>
                <w:lang w:val="ro-RO" w:eastAsia="ru-RU"/>
              </w:rPr>
              <w:t>32,0</w:t>
            </w:r>
          </w:p>
        </w:tc>
      </w:tr>
      <w:tr w:rsidR="00550228" w:rsidRPr="00E84ADC" w14:paraId="6C35DE89" w14:textId="6C741A78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2760" w14:textId="77777777" w:rsidR="00550228" w:rsidRPr="00E84ADC" w:rsidRDefault="00550228" w:rsidP="007949A5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815E02" w14:textId="77777777" w:rsidR="00550228" w:rsidRPr="00E84ADC" w:rsidRDefault="00550228" w:rsidP="00E73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Rata angajați / Judecător </w:t>
            </w:r>
          </w:p>
          <w:p w14:paraId="2E2B94F9" w14:textId="47DBBA28" w:rsidR="00550228" w:rsidRPr="00E84ADC" w:rsidRDefault="00550228" w:rsidP="00E73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(Rata personalului instanței per judecător)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FEDB1D" w14:textId="7DBBC2DC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428CC64" w14:textId="76A0E944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5,63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6CB0AE" w14:textId="6825F48A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6,35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ABED6B" w14:textId="29674C9A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19E57A" w14:textId="1686AE6A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4,78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286E79" w14:textId="0220B482" w:rsidR="00550228" w:rsidRPr="00E84ADC" w:rsidRDefault="003D6C89" w:rsidP="0067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4,7</w:t>
            </w:r>
            <w:r w:rsidR="00677F6F"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1</w:t>
            </w:r>
          </w:p>
        </w:tc>
      </w:tr>
      <w:tr w:rsidR="00550228" w:rsidRPr="00E84ADC" w14:paraId="59027908" w14:textId="5322DB9E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6F44" w14:textId="77777777" w:rsidR="00550228" w:rsidRPr="00E84ADC" w:rsidRDefault="00550228" w:rsidP="007B3755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C85154" w14:textId="2074BF36" w:rsidR="00550228" w:rsidRPr="00E84ADC" w:rsidRDefault="00550228" w:rsidP="00E73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Cauze soluționate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CE4E43F" w14:textId="6393702C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41531D5" w14:textId="5F9B4ADA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1332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C259643" w14:textId="78333593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1517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1CD044B" w14:textId="42CAC6A3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8A6958F" w14:textId="307CE786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1896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B50170F" w14:textId="69D8D2C7" w:rsidR="00550228" w:rsidRPr="00E84ADC" w:rsidRDefault="001C6F42" w:rsidP="002B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1934</w:t>
            </w:r>
          </w:p>
        </w:tc>
      </w:tr>
      <w:tr w:rsidR="00550228" w:rsidRPr="00E84ADC" w14:paraId="0AB14DA0" w14:textId="4A919269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8B6C" w14:textId="77777777" w:rsidR="00550228" w:rsidRPr="00E84ADC" w:rsidRDefault="00550228" w:rsidP="007B3755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56F59" w14:textId="163F7BFD" w:rsidR="00550228" w:rsidRPr="00E84ADC" w:rsidRDefault="00550228" w:rsidP="00E73C2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Cost / Cauză (Costul mediu per dosar MDL)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3D88C0" w14:textId="094485FE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4932,55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4B426FD" w14:textId="20416ECE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5083,28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86758" w14:textId="1D6C83F5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5099,69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EFFF20" w14:textId="1137F3CD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6147,73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45F9DE" w14:textId="3C49728C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4739,37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AA98A4" w14:textId="38EC8D20" w:rsidR="00550228" w:rsidRPr="00E84ADC" w:rsidRDefault="008B6445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5121,14</w:t>
            </w:r>
          </w:p>
        </w:tc>
      </w:tr>
      <w:tr w:rsidR="00550228" w:rsidRPr="00E84ADC" w14:paraId="24065437" w14:textId="24AEA4E5" w:rsidTr="0055022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D48EE" w14:textId="77777777" w:rsidR="00550228" w:rsidRPr="00E84ADC" w:rsidRDefault="00550228" w:rsidP="007730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983DA4F" w14:textId="2E57EA00" w:rsidR="00550228" w:rsidRPr="00E84ADC" w:rsidRDefault="00550228" w:rsidP="00773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Cauze noi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25AC851" w14:textId="71962698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1233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3FC38712" w14:textId="28538085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1344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B21877E" w14:textId="267625FD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1510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057D153" w14:textId="1D9C332E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C795CC2" w14:textId="0C641E24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1967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F8AC72" w14:textId="22869DAC" w:rsidR="00550228" w:rsidRPr="00E84ADC" w:rsidRDefault="00813CC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2066</w:t>
            </w:r>
          </w:p>
        </w:tc>
      </w:tr>
      <w:tr w:rsidR="00914F79" w:rsidRPr="00E84ADC" w14:paraId="489C8526" w14:textId="10FC87A7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9B84" w14:textId="77777777" w:rsidR="00914F79" w:rsidRPr="00E84ADC" w:rsidRDefault="00914F79" w:rsidP="00914F79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9AF5D0" w14:textId="6B7822AD" w:rsidR="00914F79" w:rsidRPr="00E84ADC" w:rsidRDefault="00914F79" w:rsidP="00914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Cauze noi / Judecător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6D504C2" w14:textId="7AD733F1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262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2431F0" w14:textId="20F1372C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264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745C3F" w14:textId="23DF750A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315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260F0D" w14:textId="1DA886CD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2E367" w14:textId="76E293A4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303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ECDD45" w14:textId="478D9B45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304</w:t>
            </w:r>
          </w:p>
        </w:tc>
      </w:tr>
      <w:tr w:rsidR="00914F79" w:rsidRPr="00E84ADC" w14:paraId="658AAEEE" w14:textId="13F18479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EF27" w14:textId="77777777" w:rsidR="00914F79" w:rsidRPr="00E84ADC" w:rsidRDefault="00914F79" w:rsidP="00914F79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5F77AD" w14:textId="4E99C305" w:rsidR="00914F79" w:rsidRPr="00E84ADC" w:rsidRDefault="00914F79" w:rsidP="00914F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Cauze soluționate / Judecător (</w:t>
            </w: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Sarcina per judecător</w:t>
            </w: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7EC66B" w14:textId="7BDB6E1B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8ED4E8" w14:textId="78A71744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74439" w14:textId="4749F87F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316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8C395B" w14:textId="0210E637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85860E" w14:textId="6BFC655B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292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73D8B8" w14:textId="1E8A92DD" w:rsidR="00914F79" w:rsidRPr="00E84ADC" w:rsidRDefault="00914F79" w:rsidP="0065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284</w:t>
            </w:r>
          </w:p>
        </w:tc>
      </w:tr>
      <w:tr w:rsidR="00914F79" w:rsidRPr="00E84ADC" w14:paraId="3BB881F9" w14:textId="7E4DDE9C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67C2" w14:textId="77777777" w:rsidR="00914F79" w:rsidRPr="00E84ADC" w:rsidRDefault="00914F79" w:rsidP="00914F79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526CAC" w14:textId="42CB56DA" w:rsidR="00914F79" w:rsidRPr="00E84ADC" w:rsidRDefault="00914F79" w:rsidP="00914F7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Cauze soluționate / Angajat (</w:t>
            </w: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Cauze per personal</w:t>
            </w: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1FCB3E" w14:textId="7CFE994A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C4CB4F" w14:textId="18B1AA4C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4F1987" w14:textId="0F800EB0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B08E0E" w14:textId="24C34E79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B7A479" w14:textId="14B1E311" w:rsidR="00914F79" w:rsidRPr="00E84ADC" w:rsidRDefault="00914F79" w:rsidP="00914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6209BA" w14:textId="4530F83C" w:rsidR="00914F79" w:rsidRPr="00E84ADC" w:rsidRDefault="00914F79" w:rsidP="0065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60</w:t>
            </w:r>
          </w:p>
        </w:tc>
      </w:tr>
      <w:tr w:rsidR="00550228" w:rsidRPr="00E84ADC" w14:paraId="61627278" w14:textId="281BCC36" w:rsidTr="00007BC8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B7AE" w14:textId="77777777" w:rsidR="00550228" w:rsidRPr="00E84ADC" w:rsidRDefault="00550228" w:rsidP="007B3755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85AC9" w14:textId="7E3DBF9D" w:rsidR="00550228" w:rsidRPr="00E84ADC" w:rsidRDefault="00550228" w:rsidP="00E73C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Activitățile de instruire </w:t>
            </w: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>(ore per persoană)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53FC34A" w14:textId="4E7E22C0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33A16E" w14:textId="487FBF2D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C4F7F7" w14:textId="19C9D2D1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99414" w14:textId="704C749B" w:rsidR="00550228" w:rsidRPr="00E84ADC" w:rsidRDefault="00550228" w:rsidP="00EA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394E86" w14:textId="1F6449E7" w:rsidR="00550228" w:rsidRPr="00E84ADC" w:rsidRDefault="00550228" w:rsidP="002B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75EA77" w14:textId="27CC24D7" w:rsidR="00550228" w:rsidRPr="00E84ADC" w:rsidRDefault="00652CAE" w:rsidP="0065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64</w:t>
            </w:r>
          </w:p>
        </w:tc>
      </w:tr>
    </w:tbl>
    <w:p w14:paraId="4B4B2041" w14:textId="1E643416" w:rsidR="00E24DA5" w:rsidRPr="00E84ADC" w:rsidRDefault="00E24DA5" w:rsidP="00DA150D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8391E4" w14:textId="07EB5677" w:rsidR="007F52B8" w:rsidRPr="00E84ADC" w:rsidRDefault="007F52B8" w:rsidP="002D742D">
      <w:pPr>
        <w:shd w:val="clear" w:color="auto" w:fill="FFFFFF" w:themeFill="background1"/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2" w:name="_GoBack"/>
      <w:bookmarkEnd w:id="2"/>
    </w:p>
    <w:p w14:paraId="5BF19214" w14:textId="5D7DE98C" w:rsidR="007F52B8" w:rsidRPr="00E84ADC" w:rsidRDefault="007F52B8" w:rsidP="00DA150D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E573E6" w14:textId="77777777" w:rsidR="00E67E1B" w:rsidRPr="00E84ADC" w:rsidRDefault="00E67E1B" w:rsidP="00E67E1B">
      <w:pPr>
        <w:shd w:val="clear" w:color="auto" w:fill="FFFFFF" w:themeFill="background1"/>
        <w:tabs>
          <w:tab w:val="left" w:pos="1995"/>
        </w:tabs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E84ADC">
        <w:rPr>
          <w:rFonts w:ascii="Times New Roman" w:hAnsi="Times New Roman" w:cs="Times New Roman"/>
          <w:b/>
          <w:sz w:val="30"/>
          <w:szCs w:val="30"/>
          <w:lang w:val="ro-RO"/>
        </w:rPr>
        <w:t>Propuneri pentru îmbunătăţirea eficienţei, calităţii serviciilor instanţei</w:t>
      </w:r>
    </w:p>
    <w:p w14:paraId="549C22A8" w14:textId="1DDDFF5D" w:rsidR="00E67E1B" w:rsidRPr="00E84ADC" w:rsidRDefault="00E67E1B" w:rsidP="0048341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E84ADC">
        <w:rPr>
          <w:rFonts w:ascii="Times New Roman" w:hAnsi="Times New Roman" w:cs="Times New Roman"/>
          <w:sz w:val="30"/>
          <w:szCs w:val="30"/>
          <w:lang w:val="ro-RO"/>
        </w:rPr>
        <w:t>Prin prisma problemelor identificate pe parcursul anilor 201</w:t>
      </w:r>
      <w:r w:rsidR="0062185E" w:rsidRPr="00E84ADC">
        <w:rPr>
          <w:rFonts w:ascii="Times New Roman" w:hAnsi="Times New Roman" w:cs="Times New Roman"/>
          <w:sz w:val="30"/>
          <w:szCs w:val="30"/>
          <w:lang w:val="ro-RO"/>
        </w:rPr>
        <w:t>7</w:t>
      </w:r>
      <w:r w:rsidRPr="00E84ADC">
        <w:rPr>
          <w:rFonts w:ascii="Times New Roman" w:hAnsi="Times New Roman" w:cs="Times New Roman"/>
          <w:sz w:val="30"/>
          <w:szCs w:val="30"/>
          <w:lang w:val="ro-RO"/>
        </w:rPr>
        <w:t xml:space="preserve">-2022, administrația Curții de Apel Comrat vine cu următoarele propuneri: </w:t>
      </w:r>
    </w:p>
    <w:p w14:paraId="04EA7AA6" w14:textId="77777777" w:rsidR="00E67E1B" w:rsidRPr="00E84ADC" w:rsidRDefault="00E67E1B" w:rsidP="0048341B">
      <w:pPr>
        <w:pStyle w:val="af1"/>
        <w:numPr>
          <w:ilvl w:val="0"/>
          <w:numId w:val="4"/>
        </w:numPr>
        <w:shd w:val="clear" w:color="auto" w:fill="FFFFFF" w:themeFill="background1"/>
        <w:ind w:left="993" w:hanging="284"/>
        <w:jc w:val="both"/>
        <w:rPr>
          <w:rFonts w:ascii="Times New Roman" w:hAnsi="Times New Roman"/>
          <w:sz w:val="30"/>
          <w:szCs w:val="30"/>
          <w:lang w:val="ro-RO"/>
        </w:rPr>
      </w:pPr>
      <w:r w:rsidRPr="00E84ADC">
        <w:rPr>
          <w:rFonts w:ascii="Times New Roman" w:hAnsi="Times New Roman"/>
          <w:b/>
          <w:bCs/>
          <w:sz w:val="30"/>
          <w:szCs w:val="30"/>
          <w:lang w:val="ro-RO"/>
        </w:rPr>
        <w:t>Majorarea numărului de judecători la Curtea de Apel Comrat cu 2 unități</w:t>
      </w:r>
      <w:r w:rsidRPr="00E84ADC">
        <w:rPr>
          <w:rFonts w:ascii="Times New Roman" w:hAnsi="Times New Roman"/>
          <w:sz w:val="30"/>
          <w:szCs w:val="30"/>
          <w:lang w:val="ro-RO"/>
        </w:rPr>
        <w:t xml:space="preserve"> pentru formarea a 3 colegii judiciare, în total fiind stabilite 9 unități de judecători;</w:t>
      </w:r>
    </w:p>
    <w:p w14:paraId="4275895C" w14:textId="1BA9638B" w:rsidR="007F52B8" w:rsidRPr="00E84ADC" w:rsidRDefault="00E67E1B" w:rsidP="0048341B">
      <w:pPr>
        <w:pStyle w:val="af1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993"/>
        </w:tabs>
        <w:spacing w:after="0"/>
        <w:ind w:left="993" w:hanging="284"/>
        <w:rPr>
          <w:rFonts w:ascii="Times New Roman" w:hAnsi="Times New Roman"/>
          <w:b/>
          <w:sz w:val="28"/>
          <w:szCs w:val="28"/>
          <w:lang w:val="ro-RO"/>
        </w:rPr>
      </w:pPr>
      <w:r w:rsidRPr="00E84ADC">
        <w:rPr>
          <w:rFonts w:ascii="Times New Roman" w:hAnsi="Times New Roman"/>
          <w:b/>
          <w:bCs/>
          <w:sz w:val="30"/>
          <w:szCs w:val="30"/>
          <w:lang w:val="ro-RO"/>
        </w:rPr>
        <w:t>Majorarea numărului de personal cu 4 unități</w:t>
      </w:r>
      <w:r w:rsidRPr="00E84ADC">
        <w:rPr>
          <w:rFonts w:ascii="Times New Roman" w:hAnsi="Times New Roman"/>
          <w:sz w:val="30"/>
          <w:szCs w:val="30"/>
          <w:lang w:val="ro-RO"/>
        </w:rPr>
        <w:t>, și anume 2 de asistenți judiciari și respectiv 2 de grefieri.</w:t>
      </w:r>
    </w:p>
    <w:p w14:paraId="11F3B492" w14:textId="060BB556" w:rsidR="007F52B8" w:rsidRPr="00E84ADC" w:rsidRDefault="0048341B" w:rsidP="0048341B">
      <w:pPr>
        <w:shd w:val="clear" w:color="auto" w:fill="FFFFFF" w:themeFill="background1"/>
        <w:tabs>
          <w:tab w:val="left" w:pos="709"/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Cs/>
          <w:sz w:val="30"/>
          <w:szCs w:val="30"/>
          <w:lang w:val="ro-RO"/>
        </w:rPr>
      </w:pPr>
      <w:r w:rsidRPr="00E84ADC">
        <w:rPr>
          <w:rFonts w:ascii="Times New Roman" w:hAnsi="Times New Roman" w:cs="Times New Roman"/>
          <w:bCs/>
          <w:sz w:val="30"/>
          <w:szCs w:val="30"/>
          <w:lang w:val="ro-RO"/>
        </w:rPr>
        <w:t>Prin majorarea numărului de judecători vor fi create condiții pentru specializarea judecătorilor ceea ce va contribui la sporirea calității actului de justiție.</w:t>
      </w:r>
    </w:p>
    <w:p w14:paraId="676382F4" w14:textId="6FA3B32A" w:rsidR="007F52B8" w:rsidRPr="00E84ADC" w:rsidRDefault="007F52B8" w:rsidP="0048341B">
      <w:pPr>
        <w:shd w:val="clear" w:color="auto" w:fill="FFFFFF" w:themeFill="background1"/>
        <w:tabs>
          <w:tab w:val="left" w:pos="709"/>
          <w:tab w:val="left" w:pos="993"/>
        </w:tabs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D3B01" w14:textId="5A6D932B" w:rsidR="007F52B8" w:rsidRPr="00E84ADC" w:rsidRDefault="007F52B8" w:rsidP="00DA150D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80EAF8F" w14:textId="4ECE50D2" w:rsidR="00833F11" w:rsidRPr="00E84ADC" w:rsidRDefault="00833F11" w:rsidP="00DA150D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4ADC">
        <w:rPr>
          <w:rFonts w:ascii="Times New Roman" w:hAnsi="Times New Roman" w:cs="Times New Roman"/>
          <w:b/>
          <w:sz w:val="28"/>
          <w:szCs w:val="28"/>
          <w:lang w:val="ro-RO"/>
        </w:rPr>
        <w:t>Președinte interimar</w:t>
      </w:r>
      <w:r w:rsidR="00D97A44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</w:t>
      </w:r>
    </w:p>
    <w:p w14:paraId="3671A7B0" w14:textId="308889CD" w:rsidR="00833F11" w:rsidRPr="00E84ADC" w:rsidRDefault="00833F11" w:rsidP="00DA150D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Curții de Apel Comrat                     </w:t>
      </w:r>
      <w:r w:rsidR="008751D4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6D2EDF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  <w:r w:rsidR="00984239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6D2EDF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Andrei MIRONOV</w:t>
      </w:r>
      <w:r w:rsidR="008751D4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B74211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</w:t>
      </w:r>
      <w:r w:rsidR="008751D4" w:rsidRPr="00E84A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</w:t>
      </w:r>
    </w:p>
    <w:p w14:paraId="0AE05E0C" w14:textId="76403D14" w:rsidR="00833F11" w:rsidRPr="00E84ADC" w:rsidRDefault="00833F11" w:rsidP="00833F11">
      <w:pPr>
        <w:shd w:val="clear" w:color="auto" w:fill="FFFFFF" w:themeFill="background1"/>
        <w:spacing w:after="0"/>
        <w:ind w:left="-284" w:firstLine="283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14:paraId="197412F7" w14:textId="77777777" w:rsidR="00871D7E" w:rsidRPr="00E84ADC" w:rsidRDefault="00871D7E" w:rsidP="00833F11">
      <w:pPr>
        <w:shd w:val="clear" w:color="auto" w:fill="FFFFFF" w:themeFill="background1"/>
        <w:spacing w:after="0"/>
        <w:ind w:left="-284" w:firstLine="283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14:paraId="4957BB07" w14:textId="5AE6A83D" w:rsidR="00833F11" w:rsidRPr="00E84ADC" w:rsidRDefault="00833F11" w:rsidP="00B74211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84ADC">
        <w:rPr>
          <w:rFonts w:ascii="Times New Roman" w:hAnsi="Times New Roman" w:cs="Times New Roman"/>
          <w:sz w:val="20"/>
          <w:szCs w:val="20"/>
          <w:lang w:val="ro-RO"/>
        </w:rPr>
        <w:t xml:space="preserve">Ex.: Șef al secretariatului  </w:t>
      </w:r>
    </w:p>
    <w:p w14:paraId="45AED7EE" w14:textId="77777777" w:rsidR="00833F11" w:rsidRPr="00E84ADC" w:rsidRDefault="00833F11" w:rsidP="00B74211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84ADC">
        <w:rPr>
          <w:rFonts w:ascii="Times New Roman" w:hAnsi="Times New Roman" w:cs="Times New Roman"/>
          <w:sz w:val="20"/>
          <w:szCs w:val="20"/>
          <w:lang w:val="ro-RO"/>
        </w:rPr>
        <w:t xml:space="preserve">Valentina Diacenco </w:t>
      </w:r>
    </w:p>
    <w:p w14:paraId="4C5DE732" w14:textId="15085A63" w:rsidR="00D33F86" w:rsidRPr="00E84ADC" w:rsidRDefault="00833F11" w:rsidP="00B74211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84ADC">
        <w:rPr>
          <w:rFonts w:ascii="Times New Roman" w:hAnsi="Times New Roman" w:cs="Times New Roman"/>
          <w:sz w:val="20"/>
          <w:szCs w:val="20"/>
          <w:lang w:val="ro-RO"/>
        </w:rPr>
        <w:t>0(298) 2-54-47</w:t>
      </w:r>
    </w:p>
    <w:sectPr w:rsidR="00D33F86" w:rsidRPr="00E84ADC" w:rsidSect="00DB0C1F">
      <w:type w:val="continuous"/>
      <w:pgSz w:w="16838" w:h="11906" w:orient="landscape"/>
      <w:pgMar w:top="1276" w:right="820" w:bottom="568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4901F" w14:textId="77777777" w:rsidR="008A7BDF" w:rsidRDefault="008A7BDF" w:rsidP="00112395">
      <w:pPr>
        <w:spacing w:after="0" w:line="240" w:lineRule="auto"/>
      </w:pPr>
      <w:r>
        <w:separator/>
      </w:r>
    </w:p>
  </w:endnote>
  <w:endnote w:type="continuationSeparator" w:id="0">
    <w:p w14:paraId="483ECF0C" w14:textId="77777777" w:rsidR="008A7BDF" w:rsidRDefault="008A7BDF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34AE" w14:textId="77777777" w:rsidR="008A7BDF" w:rsidRDefault="008A7BDF" w:rsidP="00112395">
      <w:pPr>
        <w:spacing w:after="0" w:line="240" w:lineRule="auto"/>
      </w:pPr>
      <w:r>
        <w:separator/>
      </w:r>
    </w:p>
  </w:footnote>
  <w:footnote w:type="continuationSeparator" w:id="0">
    <w:p w14:paraId="70FCCB42" w14:textId="77777777" w:rsidR="008A7BDF" w:rsidRDefault="008A7BDF" w:rsidP="001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3D7"/>
    <w:multiLevelType w:val="hybridMultilevel"/>
    <w:tmpl w:val="A4BC2FC4"/>
    <w:lvl w:ilvl="0" w:tplc="08190017">
      <w:start w:val="1"/>
      <w:numFmt w:val="lowerLetter"/>
      <w:lvlText w:val="%1)"/>
      <w:lvlJc w:val="left"/>
      <w:pPr>
        <w:ind w:left="1428" w:hanging="360"/>
      </w:p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C13986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152E"/>
    <w:multiLevelType w:val="hybridMultilevel"/>
    <w:tmpl w:val="772AF184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F14E97"/>
    <w:multiLevelType w:val="hybridMultilevel"/>
    <w:tmpl w:val="A628D540"/>
    <w:lvl w:ilvl="0" w:tplc="9FD2AD98">
      <w:start w:val="1"/>
      <w:numFmt w:val="decimal"/>
      <w:lvlText w:val="%1."/>
      <w:lvlJc w:val="left"/>
      <w:pPr>
        <w:ind w:left="1428" w:hanging="360"/>
      </w:pPr>
      <w:rPr>
        <w:b/>
        <w:bCs/>
        <w:sz w:val="28"/>
        <w:szCs w:val="28"/>
      </w:r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AF2553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2"/>
    <w:rsid w:val="000015EA"/>
    <w:rsid w:val="00005BC2"/>
    <w:rsid w:val="00007BC8"/>
    <w:rsid w:val="00011033"/>
    <w:rsid w:val="00011574"/>
    <w:rsid w:val="00015DE7"/>
    <w:rsid w:val="00021B8B"/>
    <w:rsid w:val="000225D2"/>
    <w:rsid w:val="00022ECA"/>
    <w:rsid w:val="0002521F"/>
    <w:rsid w:val="00026D26"/>
    <w:rsid w:val="000274D3"/>
    <w:rsid w:val="00027741"/>
    <w:rsid w:val="000314A5"/>
    <w:rsid w:val="00031F4C"/>
    <w:rsid w:val="00032D4E"/>
    <w:rsid w:val="00033273"/>
    <w:rsid w:val="00033B12"/>
    <w:rsid w:val="00034556"/>
    <w:rsid w:val="00034E72"/>
    <w:rsid w:val="0003796E"/>
    <w:rsid w:val="00040C6D"/>
    <w:rsid w:val="00041FDD"/>
    <w:rsid w:val="00042CC2"/>
    <w:rsid w:val="00043107"/>
    <w:rsid w:val="000500EE"/>
    <w:rsid w:val="00050C9C"/>
    <w:rsid w:val="00052AD5"/>
    <w:rsid w:val="00052DC7"/>
    <w:rsid w:val="00054201"/>
    <w:rsid w:val="0005468B"/>
    <w:rsid w:val="00065B01"/>
    <w:rsid w:val="000712B7"/>
    <w:rsid w:val="00071D0C"/>
    <w:rsid w:val="00072346"/>
    <w:rsid w:val="000744E7"/>
    <w:rsid w:val="000745E7"/>
    <w:rsid w:val="00075564"/>
    <w:rsid w:val="00075BA3"/>
    <w:rsid w:val="00076F2B"/>
    <w:rsid w:val="000774ED"/>
    <w:rsid w:val="00077FB9"/>
    <w:rsid w:val="0008273B"/>
    <w:rsid w:val="00083232"/>
    <w:rsid w:val="000832F8"/>
    <w:rsid w:val="000841AD"/>
    <w:rsid w:val="000846B2"/>
    <w:rsid w:val="00086B98"/>
    <w:rsid w:val="000873BD"/>
    <w:rsid w:val="000939EE"/>
    <w:rsid w:val="00094C4A"/>
    <w:rsid w:val="000952C0"/>
    <w:rsid w:val="00097614"/>
    <w:rsid w:val="00097A69"/>
    <w:rsid w:val="000A04BE"/>
    <w:rsid w:val="000A5C0A"/>
    <w:rsid w:val="000A6D41"/>
    <w:rsid w:val="000A6D94"/>
    <w:rsid w:val="000A6DEA"/>
    <w:rsid w:val="000B04B2"/>
    <w:rsid w:val="000B20A1"/>
    <w:rsid w:val="000B55AE"/>
    <w:rsid w:val="000C26C1"/>
    <w:rsid w:val="000C3F4C"/>
    <w:rsid w:val="000C5198"/>
    <w:rsid w:val="000C543E"/>
    <w:rsid w:val="000C5F5A"/>
    <w:rsid w:val="000D0BD6"/>
    <w:rsid w:val="000D2506"/>
    <w:rsid w:val="000D40AB"/>
    <w:rsid w:val="000D525B"/>
    <w:rsid w:val="000D5FDF"/>
    <w:rsid w:val="000D60FC"/>
    <w:rsid w:val="000E0AC1"/>
    <w:rsid w:val="000E3116"/>
    <w:rsid w:val="000F2880"/>
    <w:rsid w:val="000F3289"/>
    <w:rsid w:val="00104ACB"/>
    <w:rsid w:val="00104C70"/>
    <w:rsid w:val="0010689E"/>
    <w:rsid w:val="00110B42"/>
    <w:rsid w:val="00111CB8"/>
    <w:rsid w:val="00112395"/>
    <w:rsid w:val="00112931"/>
    <w:rsid w:val="00120855"/>
    <w:rsid w:val="0012274E"/>
    <w:rsid w:val="0012320A"/>
    <w:rsid w:val="001265FD"/>
    <w:rsid w:val="00127703"/>
    <w:rsid w:val="00130A5E"/>
    <w:rsid w:val="0013177A"/>
    <w:rsid w:val="00132A6B"/>
    <w:rsid w:val="00133503"/>
    <w:rsid w:val="001367EF"/>
    <w:rsid w:val="001405DB"/>
    <w:rsid w:val="00141182"/>
    <w:rsid w:val="00141B7C"/>
    <w:rsid w:val="00142546"/>
    <w:rsid w:val="00142B3A"/>
    <w:rsid w:val="00142F49"/>
    <w:rsid w:val="0014319E"/>
    <w:rsid w:val="001431D3"/>
    <w:rsid w:val="0014444B"/>
    <w:rsid w:val="0015511E"/>
    <w:rsid w:val="00157DD9"/>
    <w:rsid w:val="0016412D"/>
    <w:rsid w:val="00166A81"/>
    <w:rsid w:val="00167458"/>
    <w:rsid w:val="00167B3B"/>
    <w:rsid w:val="0017387B"/>
    <w:rsid w:val="001740B8"/>
    <w:rsid w:val="00175D5F"/>
    <w:rsid w:val="00177640"/>
    <w:rsid w:val="00177D1F"/>
    <w:rsid w:val="001807B2"/>
    <w:rsid w:val="00180CFE"/>
    <w:rsid w:val="00181585"/>
    <w:rsid w:val="00183CDF"/>
    <w:rsid w:val="00186FE1"/>
    <w:rsid w:val="0018765A"/>
    <w:rsid w:val="00187800"/>
    <w:rsid w:val="00193E94"/>
    <w:rsid w:val="001940AB"/>
    <w:rsid w:val="001953AE"/>
    <w:rsid w:val="00196E3C"/>
    <w:rsid w:val="00197171"/>
    <w:rsid w:val="001A015D"/>
    <w:rsid w:val="001A0899"/>
    <w:rsid w:val="001A093E"/>
    <w:rsid w:val="001A096E"/>
    <w:rsid w:val="001A16D0"/>
    <w:rsid w:val="001A20F8"/>
    <w:rsid w:val="001A6474"/>
    <w:rsid w:val="001A7391"/>
    <w:rsid w:val="001B047C"/>
    <w:rsid w:val="001B0650"/>
    <w:rsid w:val="001B296E"/>
    <w:rsid w:val="001B3138"/>
    <w:rsid w:val="001B4705"/>
    <w:rsid w:val="001B52D6"/>
    <w:rsid w:val="001B6A63"/>
    <w:rsid w:val="001C3CD8"/>
    <w:rsid w:val="001C403A"/>
    <w:rsid w:val="001C4D38"/>
    <w:rsid w:val="001C6F42"/>
    <w:rsid w:val="001D0BA8"/>
    <w:rsid w:val="001D228B"/>
    <w:rsid w:val="001D3587"/>
    <w:rsid w:val="001D38BC"/>
    <w:rsid w:val="001D5201"/>
    <w:rsid w:val="001D7341"/>
    <w:rsid w:val="001E110C"/>
    <w:rsid w:val="001E1761"/>
    <w:rsid w:val="001E1A35"/>
    <w:rsid w:val="001E1DB3"/>
    <w:rsid w:val="001E37CD"/>
    <w:rsid w:val="001E4834"/>
    <w:rsid w:val="001E65FC"/>
    <w:rsid w:val="001E69F4"/>
    <w:rsid w:val="001E73B1"/>
    <w:rsid w:val="001F06A1"/>
    <w:rsid w:val="001F146B"/>
    <w:rsid w:val="001F2AF7"/>
    <w:rsid w:val="001F2C43"/>
    <w:rsid w:val="001F3EAE"/>
    <w:rsid w:val="001F4347"/>
    <w:rsid w:val="001F4E1E"/>
    <w:rsid w:val="001F78C6"/>
    <w:rsid w:val="001F7EAA"/>
    <w:rsid w:val="002034B8"/>
    <w:rsid w:val="00210F98"/>
    <w:rsid w:val="0021521C"/>
    <w:rsid w:val="00216601"/>
    <w:rsid w:val="00216F30"/>
    <w:rsid w:val="00222398"/>
    <w:rsid w:val="002240F1"/>
    <w:rsid w:val="0023115B"/>
    <w:rsid w:val="002379E4"/>
    <w:rsid w:val="00237A3B"/>
    <w:rsid w:val="00240C1F"/>
    <w:rsid w:val="00241D3B"/>
    <w:rsid w:val="00243C20"/>
    <w:rsid w:val="00247EE5"/>
    <w:rsid w:val="002509F7"/>
    <w:rsid w:val="002518FF"/>
    <w:rsid w:val="0025337C"/>
    <w:rsid w:val="00253613"/>
    <w:rsid w:val="00254091"/>
    <w:rsid w:val="00254BDC"/>
    <w:rsid w:val="0026086A"/>
    <w:rsid w:val="00262A75"/>
    <w:rsid w:val="002633AB"/>
    <w:rsid w:val="00264532"/>
    <w:rsid w:val="002704CB"/>
    <w:rsid w:val="0027120D"/>
    <w:rsid w:val="00271CC3"/>
    <w:rsid w:val="00273077"/>
    <w:rsid w:val="00274891"/>
    <w:rsid w:val="002750AC"/>
    <w:rsid w:val="00280640"/>
    <w:rsid w:val="00282DEF"/>
    <w:rsid w:val="00286026"/>
    <w:rsid w:val="00287560"/>
    <w:rsid w:val="00291C12"/>
    <w:rsid w:val="00295EDB"/>
    <w:rsid w:val="002A014F"/>
    <w:rsid w:val="002A384D"/>
    <w:rsid w:val="002A38D4"/>
    <w:rsid w:val="002A5AE0"/>
    <w:rsid w:val="002B1E67"/>
    <w:rsid w:val="002B2BA9"/>
    <w:rsid w:val="002B3D2D"/>
    <w:rsid w:val="002B4766"/>
    <w:rsid w:val="002B6DA9"/>
    <w:rsid w:val="002C06C3"/>
    <w:rsid w:val="002C260A"/>
    <w:rsid w:val="002C4230"/>
    <w:rsid w:val="002C477C"/>
    <w:rsid w:val="002C6ACB"/>
    <w:rsid w:val="002C705B"/>
    <w:rsid w:val="002D1E5E"/>
    <w:rsid w:val="002D474C"/>
    <w:rsid w:val="002D6900"/>
    <w:rsid w:val="002D742D"/>
    <w:rsid w:val="002E016D"/>
    <w:rsid w:val="002E47FA"/>
    <w:rsid w:val="002E54E2"/>
    <w:rsid w:val="002E5ABB"/>
    <w:rsid w:val="002E62D6"/>
    <w:rsid w:val="002E7AF2"/>
    <w:rsid w:val="002F7495"/>
    <w:rsid w:val="003026CE"/>
    <w:rsid w:val="003050F4"/>
    <w:rsid w:val="00306974"/>
    <w:rsid w:val="00306C06"/>
    <w:rsid w:val="00306FCB"/>
    <w:rsid w:val="00307739"/>
    <w:rsid w:val="0031324F"/>
    <w:rsid w:val="00321784"/>
    <w:rsid w:val="00323BFC"/>
    <w:rsid w:val="003263CD"/>
    <w:rsid w:val="00331D53"/>
    <w:rsid w:val="0033330F"/>
    <w:rsid w:val="00333AFA"/>
    <w:rsid w:val="00335883"/>
    <w:rsid w:val="0033658F"/>
    <w:rsid w:val="003402F7"/>
    <w:rsid w:val="00340340"/>
    <w:rsid w:val="00343117"/>
    <w:rsid w:val="003441F1"/>
    <w:rsid w:val="00345537"/>
    <w:rsid w:val="00347246"/>
    <w:rsid w:val="00347275"/>
    <w:rsid w:val="0034769C"/>
    <w:rsid w:val="00352FE6"/>
    <w:rsid w:val="00356717"/>
    <w:rsid w:val="00360502"/>
    <w:rsid w:val="003638E3"/>
    <w:rsid w:val="003648F0"/>
    <w:rsid w:val="00364F9C"/>
    <w:rsid w:val="00371FE6"/>
    <w:rsid w:val="00372D40"/>
    <w:rsid w:val="00374B14"/>
    <w:rsid w:val="00375958"/>
    <w:rsid w:val="003765A9"/>
    <w:rsid w:val="00382142"/>
    <w:rsid w:val="003823A4"/>
    <w:rsid w:val="0038368E"/>
    <w:rsid w:val="00384EDD"/>
    <w:rsid w:val="00386507"/>
    <w:rsid w:val="00386601"/>
    <w:rsid w:val="00386B32"/>
    <w:rsid w:val="00393D06"/>
    <w:rsid w:val="003A349F"/>
    <w:rsid w:val="003B09D2"/>
    <w:rsid w:val="003B2607"/>
    <w:rsid w:val="003B3802"/>
    <w:rsid w:val="003B51C3"/>
    <w:rsid w:val="003B6D2E"/>
    <w:rsid w:val="003B6DED"/>
    <w:rsid w:val="003C55D3"/>
    <w:rsid w:val="003D0251"/>
    <w:rsid w:val="003D6C89"/>
    <w:rsid w:val="003E3193"/>
    <w:rsid w:val="003E38E0"/>
    <w:rsid w:val="003F2D08"/>
    <w:rsid w:val="003F6D1C"/>
    <w:rsid w:val="0040163D"/>
    <w:rsid w:val="00403112"/>
    <w:rsid w:val="00404AF9"/>
    <w:rsid w:val="00405683"/>
    <w:rsid w:val="00406A04"/>
    <w:rsid w:val="0040791A"/>
    <w:rsid w:val="0041212B"/>
    <w:rsid w:val="004138D8"/>
    <w:rsid w:val="00414BC9"/>
    <w:rsid w:val="004248D3"/>
    <w:rsid w:val="004252C0"/>
    <w:rsid w:val="004264CB"/>
    <w:rsid w:val="004322AF"/>
    <w:rsid w:val="0043249F"/>
    <w:rsid w:val="004333C3"/>
    <w:rsid w:val="0043427C"/>
    <w:rsid w:val="00435A20"/>
    <w:rsid w:val="0044359F"/>
    <w:rsid w:val="004435EC"/>
    <w:rsid w:val="00447267"/>
    <w:rsid w:val="004508C3"/>
    <w:rsid w:val="0045113B"/>
    <w:rsid w:val="00452807"/>
    <w:rsid w:val="00452DFF"/>
    <w:rsid w:val="00452F6B"/>
    <w:rsid w:val="004577F3"/>
    <w:rsid w:val="00460CDC"/>
    <w:rsid w:val="00462A0C"/>
    <w:rsid w:val="00465B41"/>
    <w:rsid w:val="00466BFD"/>
    <w:rsid w:val="00473B79"/>
    <w:rsid w:val="00474515"/>
    <w:rsid w:val="00480E51"/>
    <w:rsid w:val="00481368"/>
    <w:rsid w:val="0048341B"/>
    <w:rsid w:val="00484FA0"/>
    <w:rsid w:val="00487C78"/>
    <w:rsid w:val="00490308"/>
    <w:rsid w:val="00490E64"/>
    <w:rsid w:val="0049298C"/>
    <w:rsid w:val="004948D8"/>
    <w:rsid w:val="00495B0E"/>
    <w:rsid w:val="004A2086"/>
    <w:rsid w:val="004A2F4A"/>
    <w:rsid w:val="004A34E9"/>
    <w:rsid w:val="004A404A"/>
    <w:rsid w:val="004A51CB"/>
    <w:rsid w:val="004B2290"/>
    <w:rsid w:val="004B2EE5"/>
    <w:rsid w:val="004B613C"/>
    <w:rsid w:val="004C2118"/>
    <w:rsid w:val="004C3B45"/>
    <w:rsid w:val="004C4B53"/>
    <w:rsid w:val="004C5740"/>
    <w:rsid w:val="004C771C"/>
    <w:rsid w:val="004C7CAB"/>
    <w:rsid w:val="004D5944"/>
    <w:rsid w:val="004D6344"/>
    <w:rsid w:val="004D6B29"/>
    <w:rsid w:val="004D79BF"/>
    <w:rsid w:val="004E7B64"/>
    <w:rsid w:val="004F23F9"/>
    <w:rsid w:val="004F33A5"/>
    <w:rsid w:val="004F60F6"/>
    <w:rsid w:val="005062D5"/>
    <w:rsid w:val="00506B2E"/>
    <w:rsid w:val="00507EDF"/>
    <w:rsid w:val="0051496E"/>
    <w:rsid w:val="00516863"/>
    <w:rsid w:val="005176D3"/>
    <w:rsid w:val="005263EF"/>
    <w:rsid w:val="00527200"/>
    <w:rsid w:val="00531A86"/>
    <w:rsid w:val="005325BC"/>
    <w:rsid w:val="005345B7"/>
    <w:rsid w:val="00542049"/>
    <w:rsid w:val="005426CB"/>
    <w:rsid w:val="00544C15"/>
    <w:rsid w:val="00545B1B"/>
    <w:rsid w:val="00550228"/>
    <w:rsid w:val="00551327"/>
    <w:rsid w:val="00553354"/>
    <w:rsid w:val="00555C69"/>
    <w:rsid w:val="00555DA0"/>
    <w:rsid w:val="00555EC9"/>
    <w:rsid w:val="00556E25"/>
    <w:rsid w:val="00560DAB"/>
    <w:rsid w:val="005614A3"/>
    <w:rsid w:val="00562956"/>
    <w:rsid w:val="00566081"/>
    <w:rsid w:val="0056646A"/>
    <w:rsid w:val="005710A9"/>
    <w:rsid w:val="0057259C"/>
    <w:rsid w:val="0057587F"/>
    <w:rsid w:val="005767CF"/>
    <w:rsid w:val="005767DC"/>
    <w:rsid w:val="005804B2"/>
    <w:rsid w:val="00581325"/>
    <w:rsid w:val="00583B17"/>
    <w:rsid w:val="00585EEF"/>
    <w:rsid w:val="005921F0"/>
    <w:rsid w:val="005947C7"/>
    <w:rsid w:val="00595542"/>
    <w:rsid w:val="00595619"/>
    <w:rsid w:val="0059610A"/>
    <w:rsid w:val="005A3EDF"/>
    <w:rsid w:val="005A465B"/>
    <w:rsid w:val="005A52EF"/>
    <w:rsid w:val="005A6480"/>
    <w:rsid w:val="005A681B"/>
    <w:rsid w:val="005A6853"/>
    <w:rsid w:val="005A6B0B"/>
    <w:rsid w:val="005B1158"/>
    <w:rsid w:val="005B3AB1"/>
    <w:rsid w:val="005B49FB"/>
    <w:rsid w:val="005B5DF7"/>
    <w:rsid w:val="005B61EB"/>
    <w:rsid w:val="005B6E3D"/>
    <w:rsid w:val="005C30C3"/>
    <w:rsid w:val="005C374C"/>
    <w:rsid w:val="005D461B"/>
    <w:rsid w:val="005D685B"/>
    <w:rsid w:val="005D784E"/>
    <w:rsid w:val="005E2F71"/>
    <w:rsid w:val="005F030F"/>
    <w:rsid w:val="005F1729"/>
    <w:rsid w:val="005F2B56"/>
    <w:rsid w:val="005F6610"/>
    <w:rsid w:val="005F7305"/>
    <w:rsid w:val="005F7921"/>
    <w:rsid w:val="00603D38"/>
    <w:rsid w:val="0060572A"/>
    <w:rsid w:val="00613656"/>
    <w:rsid w:val="00613D00"/>
    <w:rsid w:val="00615A44"/>
    <w:rsid w:val="00616827"/>
    <w:rsid w:val="0062185E"/>
    <w:rsid w:val="00622CB0"/>
    <w:rsid w:val="00622E20"/>
    <w:rsid w:val="00624903"/>
    <w:rsid w:val="00625205"/>
    <w:rsid w:val="0062637C"/>
    <w:rsid w:val="006277DF"/>
    <w:rsid w:val="006314C3"/>
    <w:rsid w:val="0063216E"/>
    <w:rsid w:val="00633DC4"/>
    <w:rsid w:val="006345E8"/>
    <w:rsid w:val="00635AD2"/>
    <w:rsid w:val="00642F29"/>
    <w:rsid w:val="006437DB"/>
    <w:rsid w:val="00644434"/>
    <w:rsid w:val="0064544D"/>
    <w:rsid w:val="00650606"/>
    <w:rsid w:val="00650927"/>
    <w:rsid w:val="00652CAE"/>
    <w:rsid w:val="00655743"/>
    <w:rsid w:val="006564C0"/>
    <w:rsid w:val="00661F2C"/>
    <w:rsid w:val="00662FFA"/>
    <w:rsid w:val="00664251"/>
    <w:rsid w:val="00665172"/>
    <w:rsid w:val="00670920"/>
    <w:rsid w:val="00670DC5"/>
    <w:rsid w:val="006733AE"/>
    <w:rsid w:val="00676FD2"/>
    <w:rsid w:val="00677EBF"/>
    <w:rsid w:val="00677F6F"/>
    <w:rsid w:val="00681416"/>
    <w:rsid w:val="006823C1"/>
    <w:rsid w:val="006846AC"/>
    <w:rsid w:val="00684C80"/>
    <w:rsid w:val="00685355"/>
    <w:rsid w:val="0069091C"/>
    <w:rsid w:val="00690C26"/>
    <w:rsid w:val="0069234A"/>
    <w:rsid w:val="00694A84"/>
    <w:rsid w:val="00695F29"/>
    <w:rsid w:val="00696E64"/>
    <w:rsid w:val="006971D2"/>
    <w:rsid w:val="006A1E48"/>
    <w:rsid w:val="006B09D7"/>
    <w:rsid w:val="006B3177"/>
    <w:rsid w:val="006B6EEC"/>
    <w:rsid w:val="006B7040"/>
    <w:rsid w:val="006B73A9"/>
    <w:rsid w:val="006B7DF5"/>
    <w:rsid w:val="006C399A"/>
    <w:rsid w:val="006C3A5D"/>
    <w:rsid w:val="006C6897"/>
    <w:rsid w:val="006D244C"/>
    <w:rsid w:val="006D2EDF"/>
    <w:rsid w:val="006D31D7"/>
    <w:rsid w:val="006D3212"/>
    <w:rsid w:val="006D4311"/>
    <w:rsid w:val="006D4672"/>
    <w:rsid w:val="006E0BBE"/>
    <w:rsid w:val="006E0EE8"/>
    <w:rsid w:val="006E34D8"/>
    <w:rsid w:val="006E35B4"/>
    <w:rsid w:val="006E44EB"/>
    <w:rsid w:val="006E520D"/>
    <w:rsid w:val="006E612E"/>
    <w:rsid w:val="00701BB3"/>
    <w:rsid w:val="007025D3"/>
    <w:rsid w:val="00703429"/>
    <w:rsid w:val="00703537"/>
    <w:rsid w:val="00705891"/>
    <w:rsid w:val="007065B5"/>
    <w:rsid w:val="00706D6B"/>
    <w:rsid w:val="00710B5B"/>
    <w:rsid w:val="007111F3"/>
    <w:rsid w:val="00711EBD"/>
    <w:rsid w:val="0071366E"/>
    <w:rsid w:val="007143FE"/>
    <w:rsid w:val="00716E24"/>
    <w:rsid w:val="00722009"/>
    <w:rsid w:val="007238CF"/>
    <w:rsid w:val="00725B76"/>
    <w:rsid w:val="00733DA6"/>
    <w:rsid w:val="00733F8D"/>
    <w:rsid w:val="00735AE2"/>
    <w:rsid w:val="00736670"/>
    <w:rsid w:val="00744E9D"/>
    <w:rsid w:val="00745BBB"/>
    <w:rsid w:val="007465BC"/>
    <w:rsid w:val="00746CE7"/>
    <w:rsid w:val="00757E11"/>
    <w:rsid w:val="007603BB"/>
    <w:rsid w:val="00761376"/>
    <w:rsid w:val="007627E4"/>
    <w:rsid w:val="0076377A"/>
    <w:rsid w:val="007649B5"/>
    <w:rsid w:val="00773032"/>
    <w:rsid w:val="00775122"/>
    <w:rsid w:val="007801EC"/>
    <w:rsid w:val="00781840"/>
    <w:rsid w:val="00783D27"/>
    <w:rsid w:val="007842A8"/>
    <w:rsid w:val="00786F97"/>
    <w:rsid w:val="0079037D"/>
    <w:rsid w:val="00791869"/>
    <w:rsid w:val="007942C1"/>
    <w:rsid w:val="007949A5"/>
    <w:rsid w:val="00795D62"/>
    <w:rsid w:val="00796A82"/>
    <w:rsid w:val="00796C51"/>
    <w:rsid w:val="007A04F8"/>
    <w:rsid w:val="007A6330"/>
    <w:rsid w:val="007B3755"/>
    <w:rsid w:val="007B3C5A"/>
    <w:rsid w:val="007B5A06"/>
    <w:rsid w:val="007B6D2C"/>
    <w:rsid w:val="007C0210"/>
    <w:rsid w:val="007C247A"/>
    <w:rsid w:val="007C3514"/>
    <w:rsid w:val="007C4B3B"/>
    <w:rsid w:val="007C553C"/>
    <w:rsid w:val="007D1764"/>
    <w:rsid w:val="007D3B1E"/>
    <w:rsid w:val="007D4EFC"/>
    <w:rsid w:val="007D51BD"/>
    <w:rsid w:val="007D6401"/>
    <w:rsid w:val="007D65D1"/>
    <w:rsid w:val="007E1C6A"/>
    <w:rsid w:val="007E6DF1"/>
    <w:rsid w:val="007E75E0"/>
    <w:rsid w:val="007F01C9"/>
    <w:rsid w:val="007F02F1"/>
    <w:rsid w:val="007F0AE0"/>
    <w:rsid w:val="007F1A6A"/>
    <w:rsid w:val="007F442B"/>
    <w:rsid w:val="007F46E5"/>
    <w:rsid w:val="007F52B8"/>
    <w:rsid w:val="007F55E6"/>
    <w:rsid w:val="007F605E"/>
    <w:rsid w:val="007F7F14"/>
    <w:rsid w:val="008006FF"/>
    <w:rsid w:val="0080136F"/>
    <w:rsid w:val="0080173F"/>
    <w:rsid w:val="0080608A"/>
    <w:rsid w:val="00806221"/>
    <w:rsid w:val="008079C8"/>
    <w:rsid w:val="0081122B"/>
    <w:rsid w:val="00813CC8"/>
    <w:rsid w:val="00813EAB"/>
    <w:rsid w:val="008175B1"/>
    <w:rsid w:val="00817F95"/>
    <w:rsid w:val="00821DE4"/>
    <w:rsid w:val="00825D10"/>
    <w:rsid w:val="00827B45"/>
    <w:rsid w:val="008312F9"/>
    <w:rsid w:val="00832F06"/>
    <w:rsid w:val="00833F11"/>
    <w:rsid w:val="0083599D"/>
    <w:rsid w:val="00844064"/>
    <w:rsid w:val="00850016"/>
    <w:rsid w:val="00850B73"/>
    <w:rsid w:val="0085328F"/>
    <w:rsid w:val="00856D2C"/>
    <w:rsid w:val="0085728C"/>
    <w:rsid w:val="008576C9"/>
    <w:rsid w:val="00857CD0"/>
    <w:rsid w:val="00857F83"/>
    <w:rsid w:val="00860027"/>
    <w:rsid w:val="00860CC1"/>
    <w:rsid w:val="0086173A"/>
    <w:rsid w:val="00861CB8"/>
    <w:rsid w:val="00865B05"/>
    <w:rsid w:val="00865E31"/>
    <w:rsid w:val="00871D7E"/>
    <w:rsid w:val="0087283D"/>
    <w:rsid w:val="008751D4"/>
    <w:rsid w:val="008764F4"/>
    <w:rsid w:val="00876CF2"/>
    <w:rsid w:val="008807C6"/>
    <w:rsid w:val="00882791"/>
    <w:rsid w:val="00887F1C"/>
    <w:rsid w:val="00890051"/>
    <w:rsid w:val="008905B7"/>
    <w:rsid w:val="00890667"/>
    <w:rsid w:val="008961B8"/>
    <w:rsid w:val="00897664"/>
    <w:rsid w:val="008A227C"/>
    <w:rsid w:val="008A2C88"/>
    <w:rsid w:val="008A3C6A"/>
    <w:rsid w:val="008A41D8"/>
    <w:rsid w:val="008A4894"/>
    <w:rsid w:val="008A4FA7"/>
    <w:rsid w:val="008A6980"/>
    <w:rsid w:val="008A6FA5"/>
    <w:rsid w:val="008A7BDF"/>
    <w:rsid w:val="008A7DDE"/>
    <w:rsid w:val="008B2B27"/>
    <w:rsid w:val="008B3510"/>
    <w:rsid w:val="008B35DA"/>
    <w:rsid w:val="008B58E8"/>
    <w:rsid w:val="008B6445"/>
    <w:rsid w:val="008B6ED5"/>
    <w:rsid w:val="008C253B"/>
    <w:rsid w:val="008C3F4C"/>
    <w:rsid w:val="008C542F"/>
    <w:rsid w:val="008C57C0"/>
    <w:rsid w:val="008C6145"/>
    <w:rsid w:val="008C74F2"/>
    <w:rsid w:val="008D4984"/>
    <w:rsid w:val="008D62A1"/>
    <w:rsid w:val="008E1C78"/>
    <w:rsid w:val="008E2CDB"/>
    <w:rsid w:val="008E32A6"/>
    <w:rsid w:val="008E49A5"/>
    <w:rsid w:val="008E4FCC"/>
    <w:rsid w:val="008F0331"/>
    <w:rsid w:val="008F0C27"/>
    <w:rsid w:val="008F0F6B"/>
    <w:rsid w:val="008F29C2"/>
    <w:rsid w:val="008F48BA"/>
    <w:rsid w:val="008F5E00"/>
    <w:rsid w:val="008F686D"/>
    <w:rsid w:val="008F6B31"/>
    <w:rsid w:val="008F6F30"/>
    <w:rsid w:val="00900941"/>
    <w:rsid w:val="00905674"/>
    <w:rsid w:val="009104A2"/>
    <w:rsid w:val="00910595"/>
    <w:rsid w:val="00910CE3"/>
    <w:rsid w:val="0091472F"/>
    <w:rsid w:val="00914F79"/>
    <w:rsid w:val="00916638"/>
    <w:rsid w:val="009176CA"/>
    <w:rsid w:val="009206A7"/>
    <w:rsid w:val="00920823"/>
    <w:rsid w:val="00923DF7"/>
    <w:rsid w:val="00924FCE"/>
    <w:rsid w:val="00925620"/>
    <w:rsid w:val="0092684F"/>
    <w:rsid w:val="00930543"/>
    <w:rsid w:val="009353E1"/>
    <w:rsid w:val="00935FB1"/>
    <w:rsid w:val="009408CA"/>
    <w:rsid w:val="00940E14"/>
    <w:rsid w:val="009410F4"/>
    <w:rsid w:val="009416F7"/>
    <w:rsid w:val="00946171"/>
    <w:rsid w:val="00946902"/>
    <w:rsid w:val="00947A1E"/>
    <w:rsid w:val="00955D92"/>
    <w:rsid w:val="009608E0"/>
    <w:rsid w:val="00961468"/>
    <w:rsid w:val="00961483"/>
    <w:rsid w:val="00962F81"/>
    <w:rsid w:val="00966634"/>
    <w:rsid w:val="0096763C"/>
    <w:rsid w:val="00972A7A"/>
    <w:rsid w:val="00972B7D"/>
    <w:rsid w:val="009765B8"/>
    <w:rsid w:val="00980346"/>
    <w:rsid w:val="00981EFD"/>
    <w:rsid w:val="00984239"/>
    <w:rsid w:val="00984E59"/>
    <w:rsid w:val="00985A02"/>
    <w:rsid w:val="00986A58"/>
    <w:rsid w:val="00990E20"/>
    <w:rsid w:val="00993747"/>
    <w:rsid w:val="0099480E"/>
    <w:rsid w:val="00995A03"/>
    <w:rsid w:val="009A0B4B"/>
    <w:rsid w:val="009A0FC4"/>
    <w:rsid w:val="009A3146"/>
    <w:rsid w:val="009A395E"/>
    <w:rsid w:val="009A5427"/>
    <w:rsid w:val="009A68B7"/>
    <w:rsid w:val="009A779D"/>
    <w:rsid w:val="009B0641"/>
    <w:rsid w:val="009B07E9"/>
    <w:rsid w:val="009B3384"/>
    <w:rsid w:val="009B6895"/>
    <w:rsid w:val="009B6D4C"/>
    <w:rsid w:val="009C01EC"/>
    <w:rsid w:val="009C24AE"/>
    <w:rsid w:val="009C256D"/>
    <w:rsid w:val="009C2ED8"/>
    <w:rsid w:val="009C5E14"/>
    <w:rsid w:val="009C6635"/>
    <w:rsid w:val="009D0D16"/>
    <w:rsid w:val="009E1E58"/>
    <w:rsid w:val="009E6204"/>
    <w:rsid w:val="009F1AFC"/>
    <w:rsid w:val="009F3B5B"/>
    <w:rsid w:val="009F5D0F"/>
    <w:rsid w:val="009F70D8"/>
    <w:rsid w:val="009F71F9"/>
    <w:rsid w:val="009F743B"/>
    <w:rsid w:val="00A03557"/>
    <w:rsid w:val="00A03C15"/>
    <w:rsid w:val="00A0517B"/>
    <w:rsid w:val="00A05EEA"/>
    <w:rsid w:val="00A115A0"/>
    <w:rsid w:val="00A11CFC"/>
    <w:rsid w:val="00A12575"/>
    <w:rsid w:val="00A13804"/>
    <w:rsid w:val="00A15714"/>
    <w:rsid w:val="00A21049"/>
    <w:rsid w:val="00A21A60"/>
    <w:rsid w:val="00A24E06"/>
    <w:rsid w:val="00A25A49"/>
    <w:rsid w:val="00A27CF9"/>
    <w:rsid w:val="00A331E7"/>
    <w:rsid w:val="00A40E07"/>
    <w:rsid w:val="00A447B9"/>
    <w:rsid w:val="00A475DF"/>
    <w:rsid w:val="00A479B1"/>
    <w:rsid w:val="00A57095"/>
    <w:rsid w:val="00A57C49"/>
    <w:rsid w:val="00A632C7"/>
    <w:rsid w:val="00A7179B"/>
    <w:rsid w:val="00A75B65"/>
    <w:rsid w:val="00A77982"/>
    <w:rsid w:val="00A817D1"/>
    <w:rsid w:val="00A83998"/>
    <w:rsid w:val="00A85143"/>
    <w:rsid w:val="00A86DB7"/>
    <w:rsid w:val="00A874B5"/>
    <w:rsid w:val="00A9021D"/>
    <w:rsid w:val="00A902DA"/>
    <w:rsid w:val="00A91429"/>
    <w:rsid w:val="00A93BE7"/>
    <w:rsid w:val="00A97834"/>
    <w:rsid w:val="00A97EFB"/>
    <w:rsid w:val="00AA232C"/>
    <w:rsid w:val="00AA5807"/>
    <w:rsid w:val="00AA5C7F"/>
    <w:rsid w:val="00AA6D25"/>
    <w:rsid w:val="00AB12E2"/>
    <w:rsid w:val="00AB1E2E"/>
    <w:rsid w:val="00AB3641"/>
    <w:rsid w:val="00AB366E"/>
    <w:rsid w:val="00AB500C"/>
    <w:rsid w:val="00AB5222"/>
    <w:rsid w:val="00AB6E04"/>
    <w:rsid w:val="00AC157E"/>
    <w:rsid w:val="00AC2528"/>
    <w:rsid w:val="00AC4F01"/>
    <w:rsid w:val="00AD2453"/>
    <w:rsid w:val="00AD2D9B"/>
    <w:rsid w:val="00AD6125"/>
    <w:rsid w:val="00AE0FEB"/>
    <w:rsid w:val="00AE1D90"/>
    <w:rsid w:val="00AE3518"/>
    <w:rsid w:val="00AE3F64"/>
    <w:rsid w:val="00AE5660"/>
    <w:rsid w:val="00AE6334"/>
    <w:rsid w:val="00AF14D4"/>
    <w:rsid w:val="00AF4960"/>
    <w:rsid w:val="00AF6301"/>
    <w:rsid w:val="00B028F7"/>
    <w:rsid w:val="00B02CE0"/>
    <w:rsid w:val="00B0552E"/>
    <w:rsid w:val="00B069F8"/>
    <w:rsid w:val="00B06EBD"/>
    <w:rsid w:val="00B102BA"/>
    <w:rsid w:val="00B1096B"/>
    <w:rsid w:val="00B10990"/>
    <w:rsid w:val="00B2111E"/>
    <w:rsid w:val="00B2188A"/>
    <w:rsid w:val="00B22EF5"/>
    <w:rsid w:val="00B24778"/>
    <w:rsid w:val="00B249FA"/>
    <w:rsid w:val="00B24A3A"/>
    <w:rsid w:val="00B254B9"/>
    <w:rsid w:val="00B26598"/>
    <w:rsid w:val="00B35684"/>
    <w:rsid w:val="00B367A7"/>
    <w:rsid w:val="00B37FDB"/>
    <w:rsid w:val="00B40769"/>
    <w:rsid w:val="00B40D41"/>
    <w:rsid w:val="00B413CF"/>
    <w:rsid w:val="00B4578F"/>
    <w:rsid w:val="00B45D6C"/>
    <w:rsid w:val="00B5251F"/>
    <w:rsid w:val="00B55336"/>
    <w:rsid w:val="00B55679"/>
    <w:rsid w:val="00B56012"/>
    <w:rsid w:val="00B56BE8"/>
    <w:rsid w:val="00B56EB7"/>
    <w:rsid w:val="00B56F27"/>
    <w:rsid w:val="00B61BC4"/>
    <w:rsid w:val="00B62D98"/>
    <w:rsid w:val="00B62F9D"/>
    <w:rsid w:val="00B63FDF"/>
    <w:rsid w:val="00B65DDF"/>
    <w:rsid w:val="00B67BD7"/>
    <w:rsid w:val="00B70468"/>
    <w:rsid w:val="00B724C4"/>
    <w:rsid w:val="00B72662"/>
    <w:rsid w:val="00B7267E"/>
    <w:rsid w:val="00B74211"/>
    <w:rsid w:val="00B74E7B"/>
    <w:rsid w:val="00B76523"/>
    <w:rsid w:val="00B823E5"/>
    <w:rsid w:val="00B84480"/>
    <w:rsid w:val="00B928CF"/>
    <w:rsid w:val="00B97404"/>
    <w:rsid w:val="00BA305A"/>
    <w:rsid w:val="00BA5F7E"/>
    <w:rsid w:val="00BA7408"/>
    <w:rsid w:val="00BB00B3"/>
    <w:rsid w:val="00BB15AD"/>
    <w:rsid w:val="00BB7E54"/>
    <w:rsid w:val="00BC26CF"/>
    <w:rsid w:val="00BC630B"/>
    <w:rsid w:val="00BD1746"/>
    <w:rsid w:val="00BD35E8"/>
    <w:rsid w:val="00BD4FFE"/>
    <w:rsid w:val="00BD59FB"/>
    <w:rsid w:val="00BD5D46"/>
    <w:rsid w:val="00BD6285"/>
    <w:rsid w:val="00BE0B6F"/>
    <w:rsid w:val="00BE1608"/>
    <w:rsid w:val="00BE21E7"/>
    <w:rsid w:val="00BE2760"/>
    <w:rsid w:val="00BE4A2F"/>
    <w:rsid w:val="00BE5DBB"/>
    <w:rsid w:val="00BF0BF0"/>
    <w:rsid w:val="00BF1786"/>
    <w:rsid w:val="00BF3DE6"/>
    <w:rsid w:val="00BF4A5F"/>
    <w:rsid w:val="00BF5207"/>
    <w:rsid w:val="00C0018B"/>
    <w:rsid w:val="00C00DC4"/>
    <w:rsid w:val="00C03152"/>
    <w:rsid w:val="00C10275"/>
    <w:rsid w:val="00C10FE9"/>
    <w:rsid w:val="00C1115A"/>
    <w:rsid w:val="00C1180A"/>
    <w:rsid w:val="00C123AE"/>
    <w:rsid w:val="00C161CA"/>
    <w:rsid w:val="00C17071"/>
    <w:rsid w:val="00C17122"/>
    <w:rsid w:val="00C2007A"/>
    <w:rsid w:val="00C20B67"/>
    <w:rsid w:val="00C21BBF"/>
    <w:rsid w:val="00C21F5F"/>
    <w:rsid w:val="00C22069"/>
    <w:rsid w:val="00C23306"/>
    <w:rsid w:val="00C24B76"/>
    <w:rsid w:val="00C252FC"/>
    <w:rsid w:val="00C26E94"/>
    <w:rsid w:val="00C27E01"/>
    <w:rsid w:val="00C300C8"/>
    <w:rsid w:val="00C30F29"/>
    <w:rsid w:val="00C402AA"/>
    <w:rsid w:val="00C40762"/>
    <w:rsid w:val="00C41220"/>
    <w:rsid w:val="00C43664"/>
    <w:rsid w:val="00C43E6A"/>
    <w:rsid w:val="00C4586A"/>
    <w:rsid w:val="00C62D36"/>
    <w:rsid w:val="00C6645C"/>
    <w:rsid w:val="00C66522"/>
    <w:rsid w:val="00C67609"/>
    <w:rsid w:val="00C67B34"/>
    <w:rsid w:val="00C77177"/>
    <w:rsid w:val="00C77713"/>
    <w:rsid w:val="00C77AAC"/>
    <w:rsid w:val="00C800B3"/>
    <w:rsid w:val="00C802DB"/>
    <w:rsid w:val="00C85D12"/>
    <w:rsid w:val="00C87ADB"/>
    <w:rsid w:val="00C96EF4"/>
    <w:rsid w:val="00C97DAF"/>
    <w:rsid w:val="00CA0ABF"/>
    <w:rsid w:val="00CA11FA"/>
    <w:rsid w:val="00CA1D64"/>
    <w:rsid w:val="00CA38B3"/>
    <w:rsid w:val="00CA6E91"/>
    <w:rsid w:val="00CB3400"/>
    <w:rsid w:val="00CB374D"/>
    <w:rsid w:val="00CB4396"/>
    <w:rsid w:val="00CB4CEE"/>
    <w:rsid w:val="00CB6219"/>
    <w:rsid w:val="00CB65DA"/>
    <w:rsid w:val="00CB6A4C"/>
    <w:rsid w:val="00CC10C6"/>
    <w:rsid w:val="00CC19A1"/>
    <w:rsid w:val="00CC1AEE"/>
    <w:rsid w:val="00CC37A0"/>
    <w:rsid w:val="00CD024D"/>
    <w:rsid w:val="00CD1565"/>
    <w:rsid w:val="00CD36DD"/>
    <w:rsid w:val="00CD6FA5"/>
    <w:rsid w:val="00CE087C"/>
    <w:rsid w:val="00CE0D19"/>
    <w:rsid w:val="00CE182E"/>
    <w:rsid w:val="00CE1FF7"/>
    <w:rsid w:val="00CE3C8D"/>
    <w:rsid w:val="00CE45CE"/>
    <w:rsid w:val="00CE4C70"/>
    <w:rsid w:val="00CE7FB1"/>
    <w:rsid w:val="00CF1055"/>
    <w:rsid w:val="00CF17D5"/>
    <w:rsid w:val="00CF1E7E"/>
    <w:rsid w:val="00CF3A1E"/>
    <w:rsid w:val="00CF67BC"/>
    <w:rsid w:val="00CF6E4F"/>
    <w:rsid w:val="00CF70D3"/>
    <w:rsid w:val="00D03C23"/>
    <w:rsid w:val="00D04236"/>
    <w:rsid w:val="00D05241"/>
    <w:rsid w:val="00D05BF4"/>
    <w:rsid w:val="00D10089"/>
    <w:rsid w:val="00D112B8"/>
    <w:rsid w:val="00D11907"/>
    <w:rsid w:val="00D11A45"/>
    <w:rsid w:val="00D12BDF"/>
    <w:rsid w:val="00D13317"/>
    <w:rsid w:val="00D13CDE"/>
    <w:rsid w:val="00D13E4C"/>
    <w:rsid w:val="00D2190D"/>
    <w:rsid w:val="00D21C73"/>
    <w:rsid w:val="00D22CE3"/>
    <w:rsid w:val="00D33F86"/>
    <w:rsid w:val="00D37652"/>
    <w:rsid w:val="00D3774B"/>
    <w:rsid w:val="00D37F18"/>
    <w:rsid w:val="00D40E22"/>
    <w:rsid w:val="00D4115C"/>
    <w:rsid w:val="00D41674"/>
    <w:rsid w:val="00D47801"/>
    <w:rsid w:val="00D51AE9"/>
    <w:rsid w:val="00D541FD"/>
    <w:rsid w:val="00D54E4F"/>
    <w:rsid w:val="00D54F72"/>
    <w:rsid w:val="00D55694"/>
    <w:rsid w:val="00D56B35"/>
    <w:rsid w:val="00D574C8"/>
    <w:rsid w:val="00D60636"/>
    <w:rsid w:val="00D62962"/>
    <w:rsid w:val="00D6393A"/>
    <w:rsid w:val="00D70761"/>
    <w:rsid w:val="00D720AE"/>
    <w:rsid w:val="00D739BA"/>
    <w:rsid w:val="00D74BC4"/>
    <w:rsid w:val="00D76C1D"/>
    <w:rsid w:val="00D841AB"/>
    <w:rsid w:val="00D845BF"/>
    <w:rsid w:val="00D86AD2"/>
    <w:rsid w:val="00D9399C"/>
    <w:rsid w:val="00D94734"/>
    <w:rsid w:val="00D95B36"/>
    <w:rsid w:val="00D97A44"/>
    <w:rsid w:val="00DA1455"/>
    <w:rsid w:val="00DA150D"/>
    <w:rsid w:val="00DA22EB"/>
    <w:rsid w:val="00DA2950"/>
    <w:rsid w:val="00DA42E4"/>
    <w:rsid w:val="00DA4345"/>
    <w:rsid w:val="00DA43EC"/>
    <w:rsid w:val="00DA6E2E"/>
    <w:rsid w:val="00DA7505"/>
    <w:rsid w:val="00DA792B"/>
    <w:rsid w:val="00DB0C1F"/>
    <w:rsid w:val="00DB1560"/>
    <w:rsid w:val="00DB1E2A"/>
    <w:rsid w:val="00DB34AC"/>
    <w:rsid w:val="00DB3D27"/>
    <w:rsid w:val="00DC63AD"/>
    <w:rsid w:val="00DC7F04"/>
    <w:rsid w:val="00DD059B"/>
    <w:rsid w:val="00DD1DF2"/>
    <w:rsid w:val="00DD1FE9"/>
    <w:rsid w:val="00DD4218"/>
    <w:rsid w:val="00DD4280"/>
    <w:rsid w:val="00DD5EA7"/>
    <w:rsid w:val="00DD632F"/>
    <w:rsid w:val="00DE15DF"/>
    <w:rsid w:val="00DE30BA"/>
    <w:rsid w:val="00DE36C2"/>
    <w:rsid w:val="00DE489D"/>
    <w:rsid w:val="00DE6E49"/>
    <w:rsid w:val="00DF24AA"/>
    <w:rsid w:val="00DF5F71"/>
    <w:rsid w:val="00DF71A1"/>
    <w:rsid w:val="00E00748"/>
    <w:rsid w:val="00E0395F"/>
    <w:rsid w:val="00E10FDC"/>
    <w:rsid w:val="00E11F09"/>
    <w:rsid w:val="00E123E1"/>
    <w:rsid w:val="00E1318E"/>
    <w:rsid w:val="00E15362"/>
    <w:rsid w:val="00E15D1C"/>
    <w:rsid w:val="00E23635"/>
    <w:rsid w:val="00E24DA5"/>
    <w:rsid w:val="00E261EB"/>
    <w:rsid w:val="00E27502"/>
    <w:rsid w:val="00E308E0"/>
    <w:rsid w:val="00E30CD5"/>
    <w:rsid w:val="00E317CE"/>
    <w:rsid w:val="00E3380A"/>
    <w:rsid w:val="00E36E81"/>
    <w:rsid w:val="00E400A6"/>
    <w:rsid w:val="00E4459A"/>
    <w:rsid w:val="00E456E4"/>
    <w:rsid w:val="00E52036"/>
    <w:rsid w:val="00E52B89"/>
    <w:rsid w:val="00E5579B"/>
    <w:rsid w:val="00E566A3"/>
    <w:rsid w:val="00E60CA8"/>
    <w:rsid w:val="00E60DAC"/>
    <w:rsid w:val="00E61044"/>
    <w:rsid w:val="00E61618"/>
    <w:rsid w:val="00E6161C"/>
    <w:rsid w:val="00E628D2"/>
    <w:rsid w:val="00E675A1"/>
    <w:rsid w:val="00E67E1B"/>
    <w:rsid w:val="00E706F8"/>
    <w:rsid w:val="00E73C28"/>
    <w:rsid w:val="00E74BA6"/>
    <w:rsid w:val="00E77B81"/>
    <w:rsid w:val="00E77DE6"/>
    <w:rsid w:val="00E77FC2"/>
    <w:rsid w:val="00E80926"/>
    <w:rsid w:val="00E81253"/>
    <w:rsid w:val="00E84ADC"/>
    <w:rsid w:val="00E84BE1"/>
    <w:rsid w:val="00E86393"/>
    <w:rsid w:val="00E86F68"/>
    <w:rsid w:val="00E879EE"/>
    <w:rsid w:val="00EA01F5"/>
    <w:rsid w:val="00EA15A6"/>
    <w:rsid w:val="00EA1F1E"/>
    <w:rsid w:val="00EA4F10"/>
    <w:rsid w:val="00EB0603"/>
    <w:rsid w:val="00EB0ACE"/>
    <w:rsid w:val="00EB449D"/>
    <w:rsid w:val="00EB7A09"/>
    <w:rsid w:val="00EC26B8"/>
    <w:rsid w:val="00EC3B8B"/>
    <w:rsid w:val="00EC6120"/>
    <w:rsid w:val="00EC654F"/>
    <w:rsid w:val="00ED5904"/>
    <w:rsid w:val="00EE110D"/>
    <w:rsid w:val="00EE12C1"/>
    <w:rsid w:val="00EE33AA"/>
    <w:rsid w:val="00EE3488"/>
    <w:rsid w:val="00EE6BF5"/>
    <w:rsid w:val="00EE7089"/>
    <w:rsid w:val="00EF04F9"/>
    <w:rsid w:val="00EF1724"/>
    <w:rsid w:val="00EF2172"/>
    <w:rsid w:val="00EF39FB"/>
    <w:rsid w:val="00EF5584"/>
    <w:rsid w:val="00F01B1F"/>
    <w:rsid w:val="00F020A4"/>
    <w:rsid w:val="00F040A5"/>
    <w:rsid w:val="00F12726"/>
    <w:rsid w:val="00F12E20"/>
    <w:rsid w:val="00F173FA"/>
    <w:rsid w:val="00F20C52"/>
    <w:rsid w:val="00F21434"/>
    <w:rsid w:val="00F22724"/>
    <w:rsid w:val="00F22F7B"/>
    <w:rsid w:val="00F231D7"/>
    <w:rsid w:val="00F232BA"/>
    <w:rsid w:val="00F23C63"/>
    <w:rsid w:val="00F254C4"/>
    <w:rsid w:val="00F25629"/>
    <w:rsid w:val="00F31B0E"/>
    <w:rsid w:val="00F31CD1"/>
    <w:rsid w:val="00F33314"/>
    <w:rsid w:val="00F41CAD"/>
    <w:rsid w:val="00F43AF2"/>
    <w:rsid w:val="00F46310"/>
    <w:rsid w:val="00F47A19"/>
    <w:rsid w:val="00F56726"/>
    <w:rsid w:val="00F574AD"/>
    <w:rsid w:val="00F6060C"/>
    <w:rsid w:val="00F637C0"/>
    <w:rsid w:val="00F637C1"/>
    <w:rsid w:val="00F64C6E"/>
    <w:rsid w:val="00F662A6"/>
    <w:rsid w:val="00F707B4"/>
    <w:rsid w:val="00F76299"/>
    <w:rsid w:val="00F835A9"/>
    <w:rsid w:val="00F87C07"/>
    <w:rsid w:val="00F90C2F"/>
    <w:rsid w:val="00F9231D"/>
    <w:rsid w:val="00F949AB"/>
    <w:rsid w:val="00F95189"/>
    <w:rsid w:val="00F95599"/>
    <w:rsid w:val="00F9590F"/>
    <w:rsid w:val="00FA454E"/>
    <w:rsid w:val="00FA5E1C"/>
    <w:rsid w:val="00FB04D4"/>
    <w:rsid w:val="00FB0C57"/>
    <w:rsid w:val="00FB2225"/>
    <w:rsid w:val="00FB2C0C"/>
    <w:rsid w:val="00FB3B90"/>
    <w:rsid w:val="00FB4467"/>
    <w:rsid w:val="00FB5F78"/>
    <w:rsid w:val="00FB6030"/>
    <w:rsid w:val="00FB71A6"/>
    <w:rsid w:val="00FC0477"/>
    <w:rsid w:val="00FC10F0"/>
    <w:rsid w:val="00FC13CA"/>
    <w:rsid w:val="00FC6B3E"/>
    <w:rsid w:val="00FD0F0E"/>
    <w:rsid w:val="00FD533D"/>
    <w:rsid w:val="00FD53D5"/>
    <w:rsid w:val="00FD5C13"/>
    <w:rsid w:val="00FD659C"/>
    <w:rsid w:val="00FE0970"/>
    <w:rsid w:val="00FE2338"/>
    <w:rsid w:val="00FF00D0"/>
    <w:rsid w:val="00FF0430"/>
    <w:rsid w:val="00FF0C3F"/>
    <w:rsid w:val="00FF17C0"/>
    <w:rsid w:val="00FF216B"/>
    <w:rsid w:val="00FF270F"/>
    <w:rsid w:val="00FF35EB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28E8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364F9C"/>
    <w:rPr>
      <w:rFonts w:ascii="Times New Roman" w:hAnsi="Times New Roman" w:cs="Times New Roman"/>
      <w:b/>
      <w:noProof/>
      <w:sz w:val="40"/>
      <w:szCs w:val="40"/>
      <w:lang w:val="ro-RO"/>
    </w:rPr>
  </w:style>
  <w:style w:type="paragraph" w:styleId="a6">
    <w:name w:val="No Spacing"/>
    <w:next w:val="a7"/>
    <w:link w:val="a5"/>
    <w:autoRedefine/>
    <w:uiPriority w:val="1"/>
    <w:qFormat/>
    <w:rsid w:val="00364F9C"/>
    <w:pPr>
      <w:tabs>
        <w:tab w:val="center" w:pos="7580"/>
      </w:tabs>
      <w:spacing w:after="0" w:line="240" w:lineRule="auto"/>
      <w:ind w:right="-590"/>
    </w:pPr>
    <w:rPr>
      <w:rFonts w:ascii="Times New Roman" w:hAnsi="Times New Roman" w:cs="Times New Roman"/>
      <w:b/>
      <w:noProof/>
      <w:sz w:val="40"/>
      <w:szCs w:val="40"/>
      <w:lang w:val="ro-RO"/>
    </w:rPr>
  </w:style>
  <w:style w:type="paragraph" w:styleId="a7">
    <w:name w:val="annotation text"/>
    <w:basedOn w:val="a"/>
    <w:link w:val="a8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7408"/>
    <w:rPr>
      <w:sz w:val="20"/>
      <w:szCs w:val="20"/>
    </w:rPr>
  </w:style>
  <w:style w:type="character" w:styleId="a9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2395"/>
  </w:style>
  <w:style w:type="paragraph" w:styleId="af1">
    <w:name w:val="List Paragraph"/>
    <w:basedOn w:val="a"/>
    <w:uiPriority w:val="34"/>
    <w:qFormat/>
    <w:rsid w:val="00A21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EE12C1"/>
    <w:rPr>
      <w:i/>
      <w:iCs/>
    </w:rPr>
  </w:style>
  <w:style w:type="character" w:customStyle="1" w:styleId="aa955fa864e3f4942adf180ddfc9e171f541">
    <w:name w:val="aa955fa864e3f4942adf180ddfc9e171f541"/>
    <w:basedOn w:val="a0"/>
    <w:rsid w:val="00042CC2"/>
  </w:style>
  <w:style w:type="character" w:customStyle="1" w:styleId="aa955fa864e3f4942adf180ddfc9e171f543">
    <w:name w:val="aa955fa864e3f4942adf180ddfc9e171f543"/>
    <w:basedOn w:val="a0"/>
    <w:rsid w:val="00042CC2"/>
  </w:style>
  <w:style w:type="character" w:customStyle="1" w:styleId="aa955fa864e3f4942adf180ddfc9e171f545">
    <w:name w:val="aa955fa864e3f4942adf180ddfc9e171f545"/>
    <w:basedOn w:val="a0"/>
    <w:rsid w:val="00042CC2"/>
  </w:style>
  <w:style w:type="character" w:customStyle="1" w:styleId="aa955fa864e3f4942adf180ddfc9e171f546">
    <w:name w:val="aa955fa864e3f4942adf180ddfc9e171f546"/>
    <w:basedOn w:val="a0"/>
    <w:rsid w:val="00042CC2"/>
  </w:style>
  <w:style w:type="character" w:customStyle="1" w:styleId="aa955fa864e3f4942adf180ddfc9e171f548">
    <w:name w:val="aa955fa864e3f4942adf180ddfc9e171f548"/>
    <w:basedOn w:val="a0"/>
    <w:rsid w:val="00042CC2"/>
  </w:style>
  <w:style w:type="character" w:customStyle="1" w:styleId="aa955fa864e3f4942adf180ddfc9e171f550">
    <w:name w:val="aa955fa864e3f4942adf180ddfc9e171f550"/>
    <w:basedOn w:val="a0"/>
    <w:rsid w:val="00042CC2"/>
  </w:style>
  <w:style w:type="character" w:customStyle="1" w:styleId="aa955fa864e3f4942adf180ddfc9e171f551">
    <w:name w:val="aa955fa864e3f4942adf180ddfc9e171f551"/>
    <w:basedOn w:val="a0"/>
    <w:rsid w:val="00042CC2"/>
  </w:style>
  <w:style w:type="character" w:customStyle="1" w:styleId="aa955fa864e3f4942adf180ddfc9e171f552">
    <w:name w:val="aa955fa864e3f4942adf180ddfc9e171f552"/>
    <w:basedOn w:val="a0"/>
    <w:rsid w:val="00042CC2"/>
  </w:style>
  <w:style w:type="character" w:customStyle="1" w:styleId="aa955fa864e3f4942adf180ddfc9e171f553">
    <w:name w:val="aa955fa864e3f4942adf180ddfc9e171f553"/>
    <w:basedOn w:val="a0"/>
    <w:rsid w:val="00042CC2"/>
  </w:style>
  <w:style w:type="character" w:customStyle="1" w:styleId="aa955fa864e3f4942adf180ddfc9e171f554">
    <w:name w:val="aa955fa864e3f4942adf180ddfc9e171f554"/>
    <w:basedOn w:val="a0"/>
    <w:rsid w:val="00042CC2"/>
  </w:style>
  <w:style w:type="character" w:customStyle="1" w:styleId="aa955fa864e3f4942adf180ddfc9e171f556">
    <w:name w:val="aa955fa864e3f4942adf180ddfc9e171f556"/>
    <w:basedOn w:val="a0"/>
    <w:rsid w:val="00042CC2"/>
  </w:style>
  <w:style w:type="character" w:customStyle="1" w:styleId="aa955fa864e3f4942adf180ddfc9e171f558">
    <w:name w:val="aa955fa864e3f4942adf180ddfc9e171f558"/>
    <w:basedOn w:val="a0"/>
    <w:rsid w:val="00042CC2"/>
  </w:style>
  <w:style w:type="character" w:customStyle="1" w:styleId="aa955fa864e3f4942adf180ddfc9e171f565">
    <w:name w:val="aa955fa864e3f4942adf180ddfc9e171f565"/>
    <w:basedOn w:val="a0"/>
    <w:rsid w:val="00042CC2"/>
  </w:style>
  <w:style w:type="character" w:customStyle="1" w:styleId="aa955fa864e3f4942adf180ddfc9e171f567">
    <w:name w:val="aa955fa864e3f4942adf180ddfc9e171f567"/>
    <w:basedOn w:val="a0"/>
    <w:rsid w:val="00042CC2"/>
  </w:style>
  <w:style w:type="character" w:customStyle="1" w:styleId="aa955fa864e3f4942adf180ddfc9e171f569">
    <w:name w:val="aa955fa864e3f4942adf180ddfc9e171f569"/>
    <w:basedOn w:val="a0"/>
    <w:rsid w:val="00042CC2"/>
  </w:style>
  <w:style w:type="character" w:customStyle="1" w:styleId="aa955fa864e3f4942adf180ddfc9e171f573">
    <w:name w:val="aa955fa864e3f4942adf180ddfc9e171f573"/>
    <w:basedOn w:val="a0"/>
    <w:rsid w:val="00042CC2"/>
  </w:style>
  <w:style w:type="character" w:customStyle="1" w:styleId="aa955fa864e3f4942adf180ddfc9e171f575">
    <w:name w:val="aa955fa864e3f4942adf180ddfc9e171f575"/>
    <w:basedOn w:val="a0"/>
    <w:rsid w:val="00042CC2"/>
  </w:style>
  <w:style w:type="character" w:customStyle="1" w:styleId="aa955fa864e3f4942adf180ddfc9e171f579">
    <w:name w:val="aa955fa864e3f4942adf180ddfc9e171f579"/>
    <w:basedOn w:val="a0"/>
    <w:rsid w:val="00042CC2"/>
  </w:style>
  <w:style w:type="character" w:customStyle="1" w:styleId="aa955fa864e3f4942adf180ddfc9e171f581">
    <w:name w:val="aa955fa864e3f4942adf180ddfc9e171f581"/>
    <w:basedOn w:val="a0"/>
    <w:rsid w:val="00042CC2"/>
  </w:style>
  <w:style w:type="character" w:customStyle="1" w:styleId="aa03b803458ec45408378c73a519f115d330">
    <w:name w:val="aa03b803458ec45408378c73a519f115d330"/>
    <w:basedOn w:val="a0"/>
    <w:rsid w:val="00180CFE"/>
  </w:style>
  <w:style w:type="character" w:customStyle="1" w:styleId="aa03b803458ec45408378c73a519f115d332">
    <w:name w:val="aa03b803458ec45408378c73a519f115d332"/>
    <w:basedOn w:val="a0"/>
    <w:rsid w:val="00180CFE"/>
  </w:style>
  <w:style w:type="character" w:customStyle="1" w:styleId="aa03b803458ec45408378c73a519f115d336">
    <w:name w:val="aa03b803458ec45408378c73a519f115d336"/>
    <w:basedOn w:val="a0"/>
    <w:rsid w:val="00180CFE"/>
  </w:style>
  <w:style w:type="character" w:customStyle="1" w:styleId="aa03b803458ec45408378c73a519f115d338">
    <w:name w:val="aa03b803458ec45408378c73a519f115d338"/>
    <w:basedOn w:val="a0"/>
    <w:rsid w:val="00180CFE"/>
  </w:style>
  <w:style w:type="character" w:customStyle="1" w:styleId="aa03b803458ec45408378c73a519f115d342">
    <w:name w:val="aa03b803458ec45408378c73a519f115d342"/>
    <w:basedOn w:val="a0"/>
    <w:rsid w:val="00180CFE"/>
  </w:style>
  <w:style w:type="character" w:customStyle="1" w:styleId="aa03b803458ec45408378c73a519f115d344">
    <w:name w:val="aa03b803458ec45408378c73a519f115d344"/>
    <w:basedOn w:val="a0"/>
    <w:rsid w:val="00180CFE"/>
  </w:style>
  <w:style w:type="paragraph" w:styleId="af3">
    <w:name w:val="Normal (Web)"/>
    <w:basedOn w:val="a"/>
    <w:uiPriority w:val="99"/>
    <w:semiHidden/>
    <w:unhideWhenUsed/>
    <w:rsid w:val="00A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50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2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2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E085-8316-4C6C-9334-A56E110E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4642</TotalTime>
  <Pages>14</Pages>
  <Words>1739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1432</cp:revision>
  <cp:lastPrinted>2023-01-30T14:50:00Z</cp:lastPrinted>
  <dcterms:created xsi:type="dcterms:W3CDTF">2017-07-06T09:10:00Z</dcterms:created>
  <dcterms:modified xsi:type="dcterms:W3CDTF">2023-02-06T08:05:00Z</dcterms:modified>
</cp:coreProperties>
</file>